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F2EBA" w14:textId="77777777" w:rsidR="00692510" w:rsidRDefault="00692510" w:rsidP="00692510">
      <w:pPr>
        <w:jc w:val="center"/>
        <w:rPr>
          <w:b/>
          <w:sz w:val="24"/>
        </w:rPr>
      </w:pPr>
    </w:p>
    <w:p w14:paraId="76404F69" w14:textId="77777777" w:rsidR="00692510" w:rsidRDefault="00692510" w:rsidP="00692510">
      <w:pPr>
        <w:jc w:val="center"/>
        <w:rPr>
          <w:b/>
          <w:sz w:val="24"/>
        </w:rPr>
      </w:pPr>
    </w:p>
    <w:p w14:paraId="1C33780B" w14:textId="77777777" w:rsidR="00692510" w:rsidRDefault="00692510" w:rsidP="00692510">
      <w:pPr>
        <w:jc w:val="center"/>
        <w:rPr>
          <w:b/>
          <w:sz w:val="24"/>
        </w:rPr>
      </w:pPr>
    </w:p>
    <w:p w14:paraId="3CF3C5FD" w14:textId="3BE9EE21" w:rsidR="00535A5A" w:rsidRPr="00535A5A" w:rsidRDefault="00535A5A" w:rsidP="00535A5A">
      <w:pPr>
        <w:ind w:left="360"/>
        <w:jc w:val="center"/>
        <w:rPr>
          <w:b/>
          <w:sz w:val="36"/>
        </w:rPr>
      </w:pPr>
    </w:p>
    <w:p w14:paraId="7161B1E6" w14:textId="77777777" w:rsidR="007A765C" w:rsidRDefault="007A765C" w:rsidP="00692510">
      <w:pPr>
        <w:jc w:val="center"/>
        <w:rPr>
          <w:b/>
          <w:sz w:val="24"/>
        </w:rPr>
      </w:pPr>
      <w:r>
        <w:rPr>
          <w:b/>
          <w:sz w:val="24"/>
        </w:rPr>
        <w:t>Chichester District Council</w:t>
      </w:r>
    </w:p>
    <w:p w14:paraId="4BF2AC1B" w14:textId="0CDF703E" w:rsidR="007A765C" w:rsidRDefault="00535A5A" w:rsidP="00692510">
      <w:pPr>
        <w:jc w:val="center"/>
        <w:rPr>
          <w:b/>
          <w:sz w:val="24"/>
        </w:rPr>
      </w:pPr>
      <w:r>
        <w:rPr>
          <w:b/>
          <w:sz w:val="24"/>
        </w:rPr>
        <w:t xml:space="preserve"> </w:t>
      </w:r>
      <w:r w:rsidR="006B644D" w:rsidRPr="00692510">
        <w:rPr>
          <w:b/>
          <w:sz w:val="24"/>
        </w:rPr>
        <w:t xml:space="preserve">Air Quality Action Plan </w:t>
      </w:r>
    </w:p>
    <w:p w14:paraId="37C162D9" w14:textId="77777777" w:rsidR="007A765C" w:rsidRDefault="007A765C" w:rsidP="00692510">
      <w:pPr>
        <w:jc w:val="center"/>
        <w:rPr>
          <w:b/>
          <w:sz w:val="24"/>
        </w:rPr>
      </w:pPr>
      <w:r>
        <w:rPr>
          <w:b/>
          <w:sz w:val="24"/>
        </w:rPr>
        <w:t>2021 - 2026</w:t>
      </w:r>
    </w:p>
    <w:p w14:paraId="10F9ECE9" w14:textId="77777777" w:rsidR="006B644D" w:rsidRPr="00692510" w:rsidRDefault="006B644D" w:rsidP="00692510">
      <w:pPr>
        <w:jc w:val="center"/>
        <w:rPr>
          <w:b/>
          <w:sz w:val="24"/>
        </w:rPr>
      </w:pPr>
      <w:r w:rsidRPr="00692510">
        <w:rPr>
          <w:b/>
          <w:sz w:val="24"/>
        </w:rPr>
        <w:t>Prepared by Chichester District Council in fulfilment of Part IV of the Environment Act 1995</w:t>
      </w:r>
    </w:p>
    <w:p w14:paraId="5F026475" w14:textId="77777777" w:rsidR="006B644D" w:rsidRPr="00692510" w:rsidRDefault="006B644D" w:rsidP="00692510">
      <w:pPr>
        <w:jc w:val="center"/>
        <w:rPr>
          <w:b/>
          <w:sz w:val="24"/>
        </w:rPr>
      </w:pPr>
      <w:r w:rsidRPr="00692510">
        <w:rPr>
          <w:b/>
          <w:sz w:val="24"/>
        </w:rPr>
        <w:t>Local Air Quality Management</w:t>
      </w:r>
    </w:p>
    <w:p w14:paraId="79D4D715" w14:textId="77777777" w:rsidR="00757474" w:rsidRDefault="00845E79" w:rsidP="00692510">
      <w:pPr>
        <w:jc w:val="center"/>
        <w:rPr>
          <w:b/>
          <w:sz w:val="24"/>
        </w:rPr>
      </w:pPr>
      <w:r>
        <w:rPr>
          <w:b/>
          <w:sz w:val="24"/>
        </w:rPr>
        <w:t>February 2021</w:t>
      </w:r>
    </w:p>
    <w:p w14:paraId="754C471F" w14:textId="77777777" w:rsidR="00757474" w:rsidRDefault="00757474" w:rsidP="00692510">
      <w:pPr>
        <w:jc w:val="center"/>
        <w:rPr>
          <w:b/>
          <w:sz w:val="24"/>
        </w:rPr>
      </w:pPr>
    </w:p>
    <w:p w14:paraId="0A517244" w14:textId="77777777" w:rsidR="007A765C" w:rsidRDefault="007A765C">
      <w:pPr>
        <w:rPr>
          <w:b/>
          <w:sz w:val="24"/>
        </w:rPr>
      </w:pPr>
    </w:p>
    <w:p w14:paraId="186133D2" w14:textId="5EE3EA16" w:rsidR="00535A5A" w:rsidRDefault="00535A5A" w:rsidP="00535A5A">
      <w:pPr>
        <w:jc w:val="center"/>
        <w:rPr>
          <w:b/>
          <w:sz w:val="24"/>
        </w:rPr>
      </w:pPr>
      <w:r>
        <w:rPr>
          <w:b/>
          <w:noProof/>
          <w:sz w:val="24"/>
          <w:lang w:eastAsia="en-GB"/>
        </w:rPr>
        <w:drawing>
          <wp:inline distT="0" distB="0" distL="0" distR="0" wp14:anchorId="68983DDC" wp14:editId="45095F54">
            <wp:extent cx="1852930" cy="1868805"/>
            <wp:effectExtent l="0" t="0" r="0" b="0"/>
            <wp:docPr id="14" name="Picture 14" descr="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2930" cy="1868805"/>
                    </a:xfrm>
                    <a:prstGeom prst="rect">
                      <a:avLst/>
                    </a:prstGeom>
                    <a:noFill/>
                    <a:ln>
                      <a:noFill/>
                    </a:ln>
                  </pic:spPr>
                </pic:pic>
              </a:graphicData>
            </a:graphic>
          </wp:inline>
        </w:drawing>
      </w:r>
    </w:p>
    <w:p w14:paraId="640DABDF" w14:textId="77777777" w:rsidR="00535A5A" w:rsidRDefault="00535A5A">
      <w:pPr>
        <w:rPr>
          <w:b/>
          <w:sz w:val="24"/>
        </w:rPr>
      </w:pPr>
    </w:p>
    <w:p w14:paraId="719953DF" w14:textId="77777777" w:rsidR="007A765C" w:rsidRDefault="007A765C">
      <w:pPr>
        <w:rPr>
          <w:b/>
          <w:sz w:val="24"/>
        </w:rPr>
      </w:pPr>
    </w:p>
    <w:p w14:paraId="2233828E" w14:textId="7C7D6191" w:rsidR="00757474" w:rsidRPr="00535A5A" w:rsidRDefault="00757474" w:rsidP="00104A71">
      <w:pPr>
        <w:jc w:val="center"/>
        <w:rPr>
          <w:b/>
          <w:sz w:val="44"/>
        </w:rPr>
      </w:pPr>
      <w:r w:rsidRPr="00535A5A">
        <w:rPr>
          <w:b/>
          <w:sz w:val="44"/>
        </w:rPr>
        <w:br w:type="page"/>
      </w:r>
    </w:p>
    <w:p w14:paraId="4F5F6AC9" w14:textId="77777777" w:rsidR="006A179D" w:rsidRDefault="006A179D">
      <w:pPr>
        <w:rPr>
          <w:rFonts w:eastAsia="Times New Roman" w:cs="Times New Roman"/>
          <w:b/>
          <w:szCs w:val="20"/>
        </w:rPr>
      </w:pPr>
      <w:r>
        <w:lastRenderedPageBreak/>
        <w:br w:type="page"/>
      </w:r>
    </w:p>
    <w:p w14:paraId="1A907EC2" w14:textId="77777777" w:rsidR="00757474" w:rsidRPr="00757474" w:rsidRDefault="00757474" w:rsidP="00757474">
      <w:pPr>
        <w:pStyle w:val="HeadingPage"/>
        <w:spacing w:line="240" w:lineRule="auto"/>
        <w:rPr>
          <w:rFonts w:asciiTheme="minorHAnsi" w:hAnsiTheme="minorHAnsi"/>
          <w:sz w:val="22"/>
        </w:rPr>
      </w:pPr>
      <w:r w:rsidRPr="00757474">
        <w:rPr>
          <w:rFonts w:asciiTheme="minorHAnsi" w:hAnsiTheme="minorHAnsi"/>
          <w:sz w:val="22"/>
        </w:rPr>
        <w:lastRenderedPageBreak/>
        <w:t>Foreword by Councillor Penny Plant, Cabinet Member for Environment and Chichester Contract Services:</w:t>
      </w:r>
    </w:p>
    <w:p w14:paraId="345B94DF" w14:textId="77777777" w:rsidR="00757474" w:rsidRPr="00757474" w:rsidRDefault="00757474" w:rsidP="00757474">
      <w:pPr>
        <w:pStyle w:val="HeadingPage"/>
        <w:spacing w:line="240" w:lineRule="auto"/>
        <w:rPr>
          <w:rFonts w:asciiTheme="minorHAnsi" w:hAnsiTheme="minorHAnsi"/>
          <w:b w:val="0"/>
          <w:sz w:val="22"/>
        </w:rPr>
      </w:pPr>
      <w:r w:rsidRPr="00757474">
        <w:rPr>
          <w:rFonts w:asciiTheme="minorHAnsi" w:hAnsiTheme="minorHAnsi"/>
          <w:b w:val="0"/>
          <w:sz w:val="22"/>
        </w:rPr>
        <w:t>Since the 2015 AQAP was adopted by the council air quality has risen steadily up the political agenda. The evidence base for the health impact of this ‘invisible killer’ has grown hugely over this period. Air pollution has occupied many newspapers’ front pages and the public’s desire to see action has likewise increased.</w:t>
      </w:r>
    </w:p>
    <w:p w14:paraId="386AF1EC" w14:textId="77777777" w:rsidR="00757474" w:rsidRPr="00757474" w:rsidRDefault="00757474" w:rsidP="00757474">
      <w:pPr>
        <w:pStyle w:val="HeadingPage"/>
        <w:spacing w:line="240" w:lineRule="auto"/>
        <w:rPr>
          <w:rFonts w:asciiTheme="minorHAnsi" w:hAnsiTheme="minorHAnsi"/>
          <w:b w:val="0"/>
          <w:sz w:val="22"/>
        </w:rPr>
      </w:pPr>
      <w:r w:rsidRPr="00757474">
        <w:rPr>
          <w:rFonts w:asciiTheme="minorHAnsi" w:hAnsiTheme="minorHAnsi"/>
          <w:b w:val="0"/>
          <w:sz w:val="22"/>
        </w:rPr>
        <w:t>The health impacts of air pollution are now known to be systemic in humans. Perhaps unsurprisingly much of what we breath</w:t>
      </w:r>
      <w:r w:rsidR="000B594E">
        <w:rPr>
          <w:rFonts w:asciiTheme="minorHAnsi" w:hAnsiTheme="minorHAnsi"/>
          <w:b w:val="0"/>
          <w:sz w:val="22"/>
        </w:rPr>
        <w:t>e</w:t>
      </w:r>
      <w:r w:rsidRPr="00757474">
        <w:rPr>
          <w:rFonts w:asciiTheme="minorHAnsi" w:hAnsiTheme="minorHAnsi"/>
          <w:b w:val="0"/>
          <w:sz w:val="22"/>
        </w:rPr>
        <w:t xml:space="preserve"> can pass </w:t>
      </w:r>
      <w:r w:rsidR="000B594E">
        <w:rPr>
          <w:rFonts w:asciiTheme="minorHAnsi" w:hAnsiTheme="minorHAnsi"/>
          <w:b w:val="0"/>
          <w:sz w:val="22"/>
        </w:rPr>
        <w:t>through our lungs into our bloodstream to be distributed through our bodies</w:t>
      </w:r>
      <w:r w:rsidRPr="00757474">
        <w:rPr>
          <w:rFonts w:asciiTheme="minorHAnsi" w:hAnsiTheme="minorHAnsi"/>
          <w:b w:val="0"/>
          <w:sz w:val="22"/>
        </w:rPr>
        <w:t>. Air pollution is implicated in health effects across the whole span of our lives and the whole function of our bodies</w:t>
      </w:r>
      <w:r w:rsidR="000B594E">
        <w:rPr>
          <w:rFonts w:asciiTheme="minorHAnsi" w:hAnsiTheme="minorHAnsi"/>
          <w:b w:val="0"/>
          <w:sz w:val="22"/>
        </w:rPr>
        <w:t xml:space="preserve"> with a massive body of statistical and clinical evidence supporting these assertions</w:t>
      </w:r>
      <w:r w:rsidRPr="00757474">
        <w:rPr>
          <w:rFonts w:asciiTheme="minorHAnsi" w:hAnsiTheme="minorHAnsi"/>
          <w:b w:val="0"/>
          <w:sz w:val="22"/>
        </w:rPr>
        <w:t>.</w:t>
      </w:r>
    </w:p>
    <w:p w14:paraId="79CFCC70" w14:textId="77777777" w:rsidR="00757474" w:rsidRPr="00757474" w:rsidRDefault="000B594E" w:rsidP="00757474">
      <w:pPr>
        <w:pStyle w:val="HeadingPage"/>
        <w:spacing w:line="240" w:lineRule="auto"/>
        <w:rPr>
          <w:rFonts w:asciiTheme="minorHAnsi" w:hAnsiTheme="minorHAnsi"/>
          <w:b w:val="0"/>
          <w:sz w:val="22"/>
        </w:rPr>
      </w:pPr>
      <w:r>
        <w:rPr>
          <w:rFonts w:asciiTheme="minorHAnsi" w:hAnsiTheme="minorHAnsi"/>
          <w:b w:val="0"/>
          <w:sz w:val="22"/>
        </w:rPr>
        <w:t>L</w:t>
      </w:r>
      <w:r w:rsidR="00757474" w:rsidRPr="00757474">
        <w:rPr>
          <w:rFonts w:asciiTheme="minorHAnsi" w:hAnsiTheme="minorHAnsi"/>
          <w:b w:val="0"/>
          <w:sz w:val="22"/>
        </w:rPr>
        <w:t>ocal community expectations have also grown. In tackling air pollution there are linkages to tackling climate change and, as we mov</w:t>
      </w:r>
      <w:r w:rsidR="00F842B1">
        <w:rPr>
          <w:rFonts w:asciiTheme="minorHAnsi" w:hAnsiTheme="minorHAnsi"/>
          <w:b w:val="0"/>
          <w:sz w:val="22"/>
        </w:rPr>
        <w:t>e to adopt this plan in a post-C</w:t>
      </w:r>
      <w:r w:rsidR="00757474" w:rsidRPr="00757474">
        <w:rPr>
          <w:rFonts w:asciiTheme="minorHAnsi" w:hAnsiTheme="minorHAnsi"/>
          <w:b w:val="0"/>
          <w:sz w:val="22"/>
        </w:rPr>
        <w:t>ovid era, the ‘lockdown’ period has undoubtedly caused us to reflect on what we value</w:t>
      </w:r>
      <w:r>
        <w:rPr>
          <w:rFonts w:asciiTheme="minorHAnsi" w:hAnsiTheme="minorHAnsi"/>
          <w:b w:val="0"/>
          <w:sz w:val="22"/>
        </w:rPr>
        <w:t xml:space="preserve"> which includes ‘clean air’</w:t>
      </w:r>
      <w:r w:rsidR="00CE5EDE">
        <w:rPr>
          <w:rFonts w:asciiTheme="minorHAnsi" w:hAnsiTheme="minorHAnsi"/>
          <w:b w:val="0"/>
          <w:sz w:val="22"/>
        </w:rPr>
        <w:t xml:space="preserve"> with the Prime Minister stating that ‘clean air will be to the 21</w:t>
      </w:r>
      <w:r w:rsidR="00CE5EDE" w:rsidRPr="00CE5EDE">
        <w:rPr>
          <w:rFonts w:asciiTheme="minorHAnsi" w:hAnsiTheme="minorHAnsi"/>
          <w:b w:val="0"/>
          <w:sz w:val="22"/>
          <w:vertAlign w:val="superscript"/>
        </w:rPr>
        <w:t>st</w:t>
      </w:r>
      <w:r w:rsidR="00CE5EDE">
        <w:rPr>
          <w:rFonts w:asciiTheme="minorHAnsi" w:hAnsiTheme="minorHAnsi"/>
          <w:b w:val="0"/>
          <w:sz w:val="22"/>
        </w:rPr>
        <w:t xml:space="preserve"> century what clean water was to the 19</w:t>
      </w:r>
      <w:r w:rsidR="00CE5EDE" w:rsidRPr="00CE5EDE">
        <w:rPr>
          <w:rFonts w:asciiTheme="minorHAnsi" w:hAnsiTheme="minorHAnsi"/>
          <w:b w:val="0"/>
          <w:sz w:val="22"/>
          <w:vertAlign w:val="superscript"/>
        </w:rPr>
        <w:t>th</w:t>
      </w:r>
      <w:r w:rsidR="00CE5EDE">
        <w:rPr>
          <w:rFonts w:asciiTheme="minorHAnsi" w:hAnsiTheme="minorHAnsi"/>
          <w:b w:val="0"/>
          <w:sz w:val="22"/>
        </w:rPr>
        <w:t xml:space="preserve">.’ </w:t>
      </w:r>
    </w:p>
    <w:p w14:paraId="33E2DF7F" w14:textId="77777777" w:rsidR="00757474" w:rsidRPr="00757474" w:rsidRDefault="00757474" w:rsidP="00757474">
      <w:pPr>
        <w:pStyle w:val="HeadingPage"/>
        <w:spacing w:line="240" w:lineRule="auto"/>
        <w:rPr>
          <w:rFonts w:asciiTheme="minorHAnsi" w:hAnsiTheme="minorHAnsi"/>
          <w:b w:val="0"/>
          <w:sz w:val="22"/>
        </w:rPr>
      </w:pPr>
      <w:r w:rsidRPr="00757474">
        <w:rPr>
          <w:rFonts w:asciiTheme="minorHAnsi" w:hAnsiTheme="minorHAnsi"/>
          <w:b w:val="0"/>
          <w:sz w:val="22"/>
        </w:rPr>
        <w:t>There are now strong indications that</w:t>
      </w:r>
      <w:r w:rsidR="00CE5EDE">
        <w:rPr>
          <w:rFonts w:asciiTheme="minorHAnsi" w:hAnsiTheme="minorHAnsi"/>
          <w:b w:val="0"/>
          <w:sz w:val="22"/>
        </w:rPr>
        <w:t xml:space="preserve"> local</w:t>
      </w:r>
      <w:r w:rsidRPr="00757474">
        <w:rPr>
          <w:rFonts w:asciiTheme="minorHAnsi" w:hAnsiTheme="minorHAnsi"/>
          <w:b w:val="0"/>
          <w:sz w:val="22"/>
        </w:rPr>
        <w:t xml:space="preserve"> air quality has improved and is on an improving trend. The </w:t>
      </w:r>
      <w:r w:rsidR="000B594E">
        <w:rPr>
          <w:rFonts w:asciiTheme="minorHAnsi" w:hAnsiTheme="minorHAnsi"/>
          <w:b w:val="0"/>
          <w:sz w:val="22"/>
        </w:rPr>
        <w:t xml:space="preserve">impacts of the </w:t>
      </w:r>
      <w:r w:rsidRPr="00757474">
        <w:rPr>
          <w:rFonts w:asciiTheme="minorHAnsi" w:hAnsiTheme="minorHAnsi"/>
          <w:b w:val="0"/>
          <w:sz w:val="22"/>
        </w:rPr>
        <w:t xml:space="preserve">post-Covid economy </w:t>
      </w:r>
      <w:r w:rsidR="000B594E">
        <w:rPr>
          <w:rFonts w:asciiTheme="minorHAnsi" w:hAnsiTheme="minorHAnsi"/>
          <w:b w:val="0"/>
          <w:sz w:val="22"/>
        </w:rPr>
        <w:t>are yet to make themselves known</w:t>
      </w:r>
      <w:r w:rsidRPr="00757474">
        <w:rPr>
          <w:rFonts w:asciiTheme="minorHAnsi" w:hAnsiTheme="minorHAnsi"/>
          <w:b w:val="0"/>
          <w:sz w:val="22"/>
        </w:rPr>
        <w:t xml:space="preserve">. </w:t>
      </w:r>
      <w:r w:rsidR="000B594E">
        <w:rPr>
          <w:rFonts w:asciiTheme="minorHAnsi" w:hAnsiTheme="minorHAnsi"/>
          <w:b w:val="0"/>
          <w:sz w:val="22"/>
        </w:rPr>
        <w:t xml:space="preserve">Nevertheless the good news is that </w:t>
      </w:r>
      <w:r w:rsidRPr="00757474">
        <w:rPr>
          <w:rFonts w:asciiTheme="minorHAnsi" w:hAnsiTheme="minorHAnsi"/>
          <w:b w:val="0"/>
          <w:sz w:val="22"/>
        </w:rPr>
        <w:t xml:space="preserve">Chichester district’s air quality is </w:t>
      </w:r>
      <w:r w:rsidR="000B594E">
        <w:rPr>
          <w:rFonts w:asciiTheme="minorHAnsi" w:hAnsiTheme="minorHAnsi"/>
          <w:b w:val="0"/>
          <w:sz w:val="22"/>
        </w:rPr>
        <w:t>increasingly</w:t>
      </w:r>
      <w:r w:rsidRPr="00757474">
        <w:rPr>
          <w:rFonts w:asciiTheme="minorHAnsi" w:hAnsiTheme="minorHAnsi"/>
          <w:b w:val="0"/>
          <w:sz w:val="22"/>
        </w:rPr>
        <w:t xml:space="preserve"> compliant </w:t>
      </w:r>
      <w:r w:rsidR="000B594E">
        <w:rPr>
          <w:rFonts w:asciiTheme="minorHAnsi" w:hAnsiTheme="minorHAnsi"/>
          <w:b w:val="0"/>
          <w:sz w:val="22"/>
        </w:rPr>
        <w:t>with the UK</w:t>
      </w:r>
      <w:r w:rsidR="00CE5EDE">
        <w:rPr>
          <w:rFonts w:asciiTheme="minorHAnsi" w:hAnsiTheme="minorHAnsi"/>
          <w:b w:val="0"/>
          <w:sz w:val="22"/>
        </w:rPr>
        <w:t xml:space="preserve">’s air quality </w:t>
      </w:r>
      <w:r w:rsidR="000B594E">
        <w:rPr>
          <w:rFonts w:asciiTheme="minorHAnsi" w:hAnsiTheme="minorHAnsi"/>
          <w:b w:val="0"/>
          <w:sz w:val="22"/>
        </w:rPr>
        <w:t xml:space="preserve"> standards which are designed to protect the most vulnerable </w:t>
      </w:r>
      <w:r w:rsidR="00CE5EDE">
        <w:rPr>
          <w:rFonts w:asciiTheme="minorHAnsi" w:hAnsiTheme="minorHAnsi"/>
          <w:b w:val="0"/>
          <w:sz w:val="22"/>
        </w:rPr>
        <w:t>in our society</w:t>
      </w:r>
      <w:r w:rsidR="000B594E">
        <w:rPr>
          <w:rFonts w:asciiTheme="minorHAnsi" w:hAnsiTheme="minorHAnsi"/>
          <w:b w:val="0"/>
          <w:sz w:val="22"/>
        </w:rPr>
        <w:t xml:space="preserve">. </w:t>
      </w:r>
    </w:p>
    <w:p w14:paraId="21A4D9E3" w14:textId="65442B2A" w:rsidR="00757474" w:rsidRPr="00757474" w:rsidRDefault="00F842B1" w:rsidP="00757474">
      <w:pPr>
        <w:pStyle w:val="HeadingPage"/>
        <w:spacing w:line="240" w:lineRule="auto"/>
        <w:rPr>
          <w:rFonts w:asciiTheme="minorHAnsi" w:hAnsiTheme="minorHAnsi"/>
          <w:b w:val="0"/>
          <w:sz w:val="22"/>
        </w:rPr>
      </w:pPr>
      <w:r>
        <w:rPr>
          <w:rFonts w:asciiTheme="minorHAnsi" w:hAnsiTheme="minorHAnsi"/>
          <w:b w:val="0"/>
          <w:sz w:val="22"/>
        </w:rPr>
        <w:t>Notwithstanding the improvements we</w:t>
      </w:r>
      <w:r w:rsidR="00757474" w:rsidRPr="00757474">
        <w:rPr>
          <w:rFonts w:asciiTheme="minorHAnsi" w:hAnsiTheme="minorHAnsi"/>
          <w:b w:val="0"/>
          <w:sz w:val="22"/>
        </w:rPr>
        <w:t xml:space="preserve"> continue to see air quality as an important public health issue</w:t>
      </w:r>
      <w:r w:rsidR="000B594E">
        <w:rPr>
          <w:rFonts w:asciiTheme="minorHAnsi" w:hAnsiTheme="minorHAnsi"/>
          <w:b w:val="0"/>
          <w:sz w:val="22"/>
        </w:rPr>
        <w:t xml:space="preserve"> where even air quality that is compliant with standards is known to have health impacts</w:t>
      </w:r>
      <w:r w:rsidR="00757474" w:rsidRPr="00757474">
        <w:rPr>
          <w:rFonts w:asciiTheme="minorHAnsi" w:hAnsiTheme="minorHAnsi"/>
          <w:b w:val="0"/>
          <w:sz w:val="22"/>
        </w:rPr>
        <w:t>. We have strengthened our partnerships since the 2015 AQAP and will continue to strive to deliver meaningful projects that seek to tackle air pollution.</w:t>
      </w:r>
    </w:p>
    <w:p w14:paraId="4C47AFA2" w14:textId="77777777" w:rsidR="00757474" w:rsidRDefault="00757474" w:rsidP="00757474">
      <w:pPr>
        <w:pStyle w:val="HeadingPage"/>
        <w:spacing w:line="240" w:lineRule="auto"/>
        <w:rPr>
          <w:rFonts w:asciiTheme="minorHAnsi" w:hAnsiTheme="minorHAnsi"/>
          <w:b w:val="0"/>
          <w:sz w:val="22"/>
        </w:rPr>
      </w:pPr>
      <w:r w:rsidRPr="00757474">
        <w:rPr>
          <w:rFonts w:asciiTheme="minorHAnsi" w:hAnsiTheme="minorHAnsi"/>
          <w:b w:val="0"/>
          <w:sz w:val="22"/>
        </w:rPr>
        <w:t xml:space="preserve">I hope you will find this action plan a </w:t>
      </w:r>
      <w:r w:rsidR="000B594E">
        <w:rPr>
          <w:rFonts w:asciiTheme="minorHAnsi" w:hAnsiTheme="minorHAnsi"/>
          <w:b w:val="0"/>
          <w:sz w:val="22"/>
        </w:rPr>
        <w:t xml:space="preserve">proportionate and suitable response to the challenge of tackling air pollution and </w:t>
      </w:r>
      <w:r w:rsidR="00FA6BDD">
        <w:rPr>
          <w:rFonts w:asciiTheme="minorHAnsi" w:hAnsiTheme="minorHAnsi"/>
          <w:b w:val="0"/>
          <w:sz w:val="22"/>
        </w:rPr>
        <w:t xml:space="preserve">an approach that is realistically within the gift of what </w:t>
      </w:r>
      <w:r w:rsidR="00F842B1">
        <w:rPr>
          <w:rFonts w:asciiTheme="minorHAnsi" w:hAnsiTheme="minorHAnsi"/>
          <w:b w:val="0"/>
          <w:sz w:val="22"/>
        </w:rPr>
        <w:t>this</w:t>
      </w:r>
      <w:r w:rsidR="00FA6BDD">
        <w:rPr>
          <w:rFonts w:asciiTheme="minorHAnsi" w:hAnsiTheme="minorHAnsi"/>
          <w:b w:val="0"/>
          <w:sz w:val="22"/>
        </w:rPr>
        <w:t xml:space="preserve"> authority </w:t>
      </w:r>
      <w:r w:rsidR="00F842B1">
        <w:rPr>
          <w:rFonts w:asciiTheme="minorHAnsi" w:hAnsiTheme="minorHAnsi"/>
          <w:b w:val="0"/>
          <w:sz w:val="22"/>
        </w:rPr>
        <w:t xml:space="preserve">and its partners </w:t>
      </w:r>
      <w:r w:rsidR="00FA6BDD">
        <w:rPr>
          <w:rFonts w:asciiTheme="minorHAnsi" w:hAnsiTheme="minorHAnsi"/>
          <w:b w:val="0"/>
          <w:sz w:val="22"/>
        </w:rPr>
        <w:t>can deliver.</w:t>
      </w:r>
    </w:p>
    <w:p w14:paraId="7529AF58" w14:textId="77777777" w:rsidR="00FA6BDD" w:rsidRPr="00757474" w:rsidRDefault="00FA6BDD" w:rsidP="00757474">
      <w:pPr>
        <w:pStyle w:val="HeadingPage"/>
        <w:spacing w:line="240" w:lineRule="auto"/>
        <w:rPr>
          <w:rFonts w:asciiTheme="minorHAnsi" w:hAnsiTheme="minorHAnsi"/>
          <w:b w:val="0"/>
          <w:sz w:val="22"/>
        </w:rPr>
      </w:pPr>
    </w:p>
    <w:tbl>
      <w:tblPr>
        <w:tblW w:w="0" w:type="auto"/>
        <w:tblLook w:val="04A0" w:firstRow="1" w:lastRow="0" w:firstColumn="1" w:lastColumn="0" w:noHBand="0" w:noVBand="1"/>
      </w:tblPr>
      <w:tblGrid>
        <w:gridCol w:w="4565"/>
        <w:gridCol w:w="4505"/>
      </w:tblGrid>
      <w:tr w:rsidR="00757474" w:rsidRPr="00757474" w14:paraId="74DB6DCC" w14:textId="77777777" w:rsidTr="005421CC">
        <w:tc>
          <w:tcPr>
            <w:tcW w:w="4643" w:type="dxa"/>
            <w:shd w:val="clear" w:color="auto" w:fill="auto"/>
          </w:tcPr>
          <w:p w14:paraId="5B38A679" w14:textId="77777777" w:rsidR="00CA3C4F" w:rsidRDefault="00CA3C4F" w:rsidP="00CA3C4F">
            <w:pPr>
              <w:pStyle w:val="HeadingPage"/>
              <w:spacing w:line="240" w:lineRule="auto"/>
              <w:jc w:val="center"/>
              <w:rPr>
                <w:rFonts w:asciiTheme="minorHAnsi" w:hAnsiTheme="minorHAnsi"/>
                <w:b w:val="0"/>
                <w:sz w:val="22"/>
              </w:rPr>
            </w:pPr>
          </w:p>
          <w:p w14:paraId="27575231" w14:textId="77777777" w:rsidR="00757474" w:rsidRPr="00757474" w:rsidRDefault="00CA3C4F" w:rsidP="00CA3C4F">
            <w:pPr>
              <w:pStyle w:val="HeadingPage"/>
              <w:spacing w:line="240" w:lineRule="auto"/>
              <w:jc w:val="center"/>
              <w:rPr>
                <w:rFonts w:asciiTheme="minorHAnsi" w:hAnsiTheme="minorHAnsi"/>
                <w:b w:val="0"/>
                <w:sz w:val="22"/>
                <w:highlight w:val="yellow"/>
              </w:rPr>
            </w:pPr>
            <w:r w:rsidRPr="00BC7B90">
              <w:rPr>
                <w:noProof/>
                <w:lang w:eastAsia="en-GB"/>
              </w:rPr>
              <w:drawing>
                <wp:inline distT="0" distB="0" distL="0" distR="0" wp14:anchorId="0E512893" wp14:editId="54FAE069">
                  <wp:extent cx="1693627" cy="485028"/>
                  <wp:effectExtent l="0" t="0" r="1905" b="0"/>
                  <wp:docPr id="12" name="Picture 3" descr="Councillor Penny Plant Signature"/>
                  <wp:cNvGraphicFramePr/>
                  <a:graphic xmlns:a="http://schemas.openxmlformats.org/drawingml/2006/main">
                    <a:graphicData uri="http://schemas.openxmlformats.org/drawingml/2006/picture">
                      <pic:pic xmlns:pic="http://schemas.openxmlformats.org/drawingml/2006/picture">
                        <pic:nvPicPr>
                          <pic:cNvPr id="12" name="Picture 3" descr="Councillor Penny Plant Signature"/>
                          <pic:cNvPicPr/>
                        </pic:nvPicPr>
                        <pic:blipFill>
                          <a:blip r:embed="rId9">
                            <a:extLst>
                              <a:ext uri="{BEBA8EAE-BF5A-486C-A8C5-ECC9F3942E4B}">
                                <a14:imgProps xmlns:a14="http://schemas.microsoft.com/office/drawing/2010/main">
                                  <a14:imgLayer r:embed="rId10">
                                    <a14:imgEffect>
                                      <a14:brightnessContrast bright="40000" contrast="40000"/>
                                    </a14:imgEffect>
                                  </a14:imgLayer>
                                </a14:imgProps>
                              </a:ext>
                            </a:extLst>
                          </a:blip>
                          <a:stretch>
                            <a:fillRect/>
                          </a:stretch>
                        </pic:blipFill>
                        <pic:spPr>
                          <a:xfrm>
                            <a:off x="0" y="0"/>
                            <a:ext cx="1697590" cy="486163"/>
                          </a:xfrm>
                          <a:prstGeom prst="rect">
                            <a:avLst/>
                          </a:prstGeom>
                        </pic:spPr>
                      </pic:pic>
                    </a:graphicData>
                  </a:graphic>
                </wp:inline>
              </w:drawing>
            </w:r>
            <w:r w:rsidR="005421CC">
              <w:rPr>
                <w:rFonts w:asciiTheme="minorHAnsi" w:hAnsiTheme="minorHAnsi"/>
                <w:b w:val="0"/>
                <w:sz w:val="22"/>
                <w:highlight w:val="yellow"/>
              </w:rPr>
              <w:t xml:space="preserve">                            </w:t>
            </w:r>
          </w:p>
        </w:tc>
        <w:tc>
          <w:tcPr>
            <w:tcW w:w="4643" w:type="dxa"/>
            <w:shd w:val="clear" w:color="auto" w:fill="auto"/>
          </w:tcPr>
          <w:p w14:paraId="5BF8DA4C" w14:textId="77777777" w:rsidR="00757474" w:rsidRPr="00757474" w:rsidRDefault="00CA3C4F" w:rsidP="00CA3C4F">
            <w:pPr>
              <w:pStyle w:val="HeadingPage"/>
              <w:spacing w:line="240" w:lineRule="auto"/>
              <w:rPr>
                <w:rFonts w:asciiTheme="minorHAnsi" w:hAnsiTheme="minorHAnsi"/>
                <w:b w:val="0"/>
                <w:sz w:val="22"/>
                <w:highlight w:val="yellow"/>
              </w:rPr>
            </w:pPr>
            <w:r>
              <w:rPr>
                <w:noProof/>
                <w:lang w:eastAsia="en-GB"/>
              </w:rPr>
              <w:drawing>
                <wp:inline distT="0" distB="0" distL="0" distR="0" wp14:anchorId="203251B2" wp14:editId="69E0CEF1">
                  <wp:extent cx="845051" cy="1060299"/>
                  <wp:effectExtent l="0" t="0" r="0" b="6985"/>
                  <wp:docPr id="13" name="Picture 13" descr="Councillor Penny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ouncillor Penny Plant"/>
                          <pic:cNvPicPr/>
                        </pic:nvPicPr>
                        <pic:blipFill>
                          <a:blip r:embed="rId11"/>
                          <a:stretch>
                            <a:fillRect/>
                          </a:stretch>
                        </pic:blipFill>
                        <pic:spPr>
                          <a:xfrm>
                            <a:off x="0" y="0"/>
                            <a:ext cx="844912" cy="1060125"/>
                          </a:xfrm>
                          <a:prstGeom prst="rect">
                            <a:avLst/>
                          </a:prstGeom>
                        </pic:spPr>
                      </pic:pic>
                    </a:graphicData>
                  </a:graphic>
                </wp:inline>
              </w:drawing>
            </w:r>
          </w:p>
        </w:tc>
      </w:tr>
    </w:tbl>
    <w:p w14:paraId="2110234C" w14:textId="77777777" w:rsidR="00757474" w:rsidRDefault="00757474" w:rsidP="00757474">
      <w:pPr>
        <w:pStyle w:val="HeadingPage"/>
        <w:spacing w:before="0" w:line="240" w:lineRule="auto"/>
        <w:rPr>
          <w:rFonts w:asciiTheme="minorHAnsi" w:hAnsiTheme="minorHAnsi"/>
          <w:sz w:val="22"/>
        </w:rPr>
      </w:pPr>
      <w:r w:rsidRPr="00757474">
        <w:rPr>
          <w:rFonts w:asciiTheme="minorHAnsi" w:hAnsiTheme="minorHAnsi"/>
          <w:sz w:val="22"/>
        </w:rPr>
        <w:t>Councillor Penny Plant</w:t>
      </w:r>
    </w:p>
    <w:p w14:paraId="0326DB94" w14:textId="77777777" w:rsidR="00757474" w:rsidRDefault="00757474" w:rsidP="006A179D">
      <w:pPr>
        <w:pStyle w:val="HeadingPage"/>
        <w:spacing w:before="0" w:line="240" w:lineRule="auto"/>
        <w:rPr>
          <w:rFonts w:asciiTheme="minorHAnsi" w:hAnsiTheme="minorHAnsi"/>
          <w:sz w:val="22"/>
        </w:rPr>
      </w:pPr>
      <w:r w:rsidRPr="00757474">
        <w:rPr>
          <w:rFonts w:asciiTheme="minorHAnsi" w:hAnsiTheme="minorHAnsi"/>
          <w:sz w:val="22"/>
        </w:rPr>
        <w:t xml:space="preserve">Cabinet Member for Environment and Chichester Contract Services </w:t>
      </w:r>
    </w:p>
    <w:p w14:paraId="04C25C64" w14:textId="77777777" w:rsidR="007A765C" w:rsidRDefault="007A765C" w:rsidP="00757474">
      <w:pPr>
        <w:pStyle w:val="HeadingPage"/>
        <w:spacing w:line="240" w:lineRule="auto"/>
        <w:rPr>
          <w:rFonts w:asciiTheme="minorHAnsi" w:hAnsiTheme="minorHAnsi"/>
          <w:sz w:val="22"/>
        </w:rPr>
      </w:pPr>
    </w:p>
    <w:p w14:paraId="2F5F0E78" w14:textId="77777777" w:rsidR="007A765C" w:rsidRDefault="007A765C">
      <w:pPr>
        <w:rPr>
          <w:rFonts w:eastAsia="Times New Roman" w:cs="Times New Roman"/>
          <w:b/>
          <w:szCs w:val="20"/>
        </w:rPr>
      </w:pPr>
      <w:r>
        <w:br w:type="page"/>
      </w:r>
    </w:p>
    <w:tbl>
      <w:tblPr>
        <w:tblStyle w:val="TableGrid"/>
        <w:tblW w:w="0" w:type="auto"/>
        <w:tblLook w:val="04A0" w:firstRow="1" w:lastRow="0" w:firstColumn="1" w:lastColumn="0" w:noHBand="0" w:noVBand="1"/>
      </w:tblPr>
      <w:tblGrid>
        <w:gridCol w:w="3144"/>
        <w:gridCol w:w="5916"/>
      </w:tblGrid>
      <w:tr w:rsidR="007A765C" w14:paraId="09247DD4" w14:textId="77777777" w:rsidTr="00DE5E45">
        <w:tc>
          <w:tcPr>
            <w:tcW w:w="3227" w:type="dxa"/>
            <w:shd w:val="clear" w:color="auto" w:fill="01CC58"/>
          </w:tcPr>
          <w:p w14:paraId="6CBAED85" w14:textId="77777777" w:rsidR="007A765C" w:rsidRPr="00B15A5B" w:rsidRDefault="007A765C" w:rsidP="007A765C">
            <w:pPr>
              <w:rPr>
                <w:rFonts w:ascii="Arial" w:eastAsia="Times New Roman" w:hAnsi="Arial" w:cs="Arial"/>
                <w:b/>
                <w:sz w:val="24"/>
                <w:szCs w:val="20"/>
              </w:rPr>
            </w:pPr>
            <w:r w:rsidRPr="00B15A5B">
              <w:rPr>
                <w:rFonts w:ascii="Arial" w:eastAsia="Times New Roman" w:hAnsi="Arial" w:cs="Arial"/>
                <w:b/>
                <w:sz w:val="24"/>
                <w:szCs w:val="20"/>
              </w:rPr>
              <w:lastRenderedPageBreak/>
              <w:t>Local Authority Officer</w:t>
            </w:r>
          </w:p>
        </w:tc>
        <w:tc>
          <w:tcPr>
            <w:tcW w:w="6059" w:type="dxa"/>
            <w:vAlign w:val="center"/>
          </w:tcPr>
          <w:p w14:paraId="5A36F366" w14:textId="77777777" w:rsidR="007A765C" w:rsidRPr="00B15A5B" w:rsidRDefault="007A765C" w:rsidP="00DE5E45">
            <w:pPr>
              <w:rPr>
                <w:rFonts w:ascii="Arial" w:eastAsia="Times New Roman" w:hAnsi="Arial" w:cs="Arial"/>
                <w:sz w:val="24"/>
                <w:szCs w:val="20"/>
              </w:rPr>
            </w:pPr>
            <w:r w:rsidRPr="00B15A5B">
              <w:rPr>
                <w:rFonts w:ascii="Arial" w:eastAsia="Times New Roman" w:hAnsi="Arial" w:cs="Arial"/>
                <w:sz w:val="24"/>
                <w:szCs w:val="20"/>
              </w:rPr>
              <w:t>Simon Ballard</w:t>
            </w:r>
          </w:p>
        </w:tc>
      </w:tr>
      <w:tr w:rsidR="007A765C" w14:paraId="47E9ADF5" w14:textId="77777777" w:rsidTr="00DE5E45">
        <w:tc>
          <w:tcPr>
            <w:tcW w:w="3227" w:type="dxa"/>
            <w:shd w:val="clear" w:color="auto" w:fill="01CC58"/>
            <w:vAlign w:val="center"/>
          </w:tcPr>
          <w:p w14:paraId="57FBE576" w14:textId="77777777" w:rsidR="007A765C" w:rsidRPr="00B15A5B" w:rsidRDefault="007A765C" w:rsidP="00DE5E45">
            <w:pPr>
              <w:rPr>
                <w:rFonts w:ascii="Arial" w:eastAsia="Times New Roman" w:hAnsi="Arial" w:cs="Arial"/>
                <w:b/>
                <w:sz w:val="24"/>
                <w:szCs w:val="20"/>
              </w:rPr>
            </w:pPr>
            <w:r w:rsidRPr="00B15A5B">
              <w:rPr>
                <w:rFonts w:ascii="Arial" w:eastAsia="Times New Roman" w:hAnsi="Arial" w:cs="Arial"/>
                <w:b/>
                <w:sz w:val="24"/>
                <w:szCs w:val="20"/>
              </w:rPr>
              <w:t xml:space="preserve">Department </w:t>
            </w:r>
          </w:p>
          <w:p w14:paraId="759EC997" w14:textId="77777777" w:rsidR="00DE5E45" w:rsidRPr="00B15A5B" w:rsidRDefault="00DE5E45" w:rsidP="00DE5E45">
            <w:pPr>
              <w:rPr>
                <w:rFonts w:ascii="Arial" w:eastAsia="Times New Roman" w:hAnsi="Arial" w:cs="Arial"/>
                <w:b/>
                <w:sz w:val="24"/>
                <w:szCs w:val="20"/>
              </w:rPr>
            </w:pPr>
          </w:p>
        </w:tc>
        <w:tc>
          <w:tcPr>
            <w:tcW w:w="6059" w:type="dxa"/>
            <w:vAlign w:val="center"/>
          </w:tcPr>
          <w:p w14:paraId="67A88B02" w14:textId="77777777" w:rsidR="007A765C" w:rsidRPr="00B15A5B" w:rsidRDefault="007A765C" w:rsidP="00DE5E45">
            <w:pPr>
              <w:rPr>
                <w:rFonts w:ascii="Arial" w:eastAsia="Times New Roman" w:hAnsi="Arial" w:cs="Arial"/>
                <w:sz w:val="24"/>
                <w:szCs w:val="20"/>
              </w:rPr>
            </w:pPr>
            <w:r w:rsidRPr="00B15A5B">
              <w:rPr>
                <w:rFonts w:ascii="Arial" w:eastAsia="Times New Roman" w:hAnsi="Arial" w:cs="Arial"/>
                <w:sz w:val="24"/>
                <w:szCs w:val="20"/>
              </w:rPr>
              <w:t>Environment and Planning</w:t>
            </w:r>
          </w:p>
        </w:tc>
      </w:tr>
      <w:tr w:rsidR="007A765C" w14:paraId="4F4A70F6" w14:textId="77777777" w:rsidTr="00DE5E45">
        <w:tc>
          <w:tcPr>
            <w:tcW w:w="3227" w:type="dxa"/>
            <w:shd w:val="clear" w:color="auto" w:fill="01CC58"/>
            <w:vAlign w:val="center"/>
          </w:tcPr>
          <w:p w14:paraId="6AC36EDC" w14:textId="77777777" w:rsidR="007A765C" w:rsidRPr="00B15A5B" w:rsidRDefault="007A765C" w:rsidP="00DE5E45">
            <w:pPr>
              <w:rPr>
                <w:rFonts w:ascii="Arial" w:eastAsia="Times New Roman" w:hAnsi="Arial" w:cs="Arial"/>
                <w:b/>
                <w:sz w:val="24"/>
                <w:szCs w:val="20"/>
              </w:rPr>
            </w:pPr>
            <w:r w:rsidRPr="00B15A5B">
              <w:rPr>
                <w:rFonts w:ascii="Arial" w:eastAsia="Times New Roman" w:hAnsi="Arial" w:cs="Arial"/>
                <w:b/>
                <w:sz w:val="24"/>
                <w:szCs w:val="20"/>
              </w:rPr>
              <w:t>Address</w:t>
            </w:r>
          </w:p>
        </w:tc>
        <w:tc>
          <w:tcPr>
            <w:tcW w:w="6059" w:type="dxa"/>
            <w:vAlign w:val="center"/>
          </w:tcPr>
          <w:p w14:paraId="6680EC79" w14:textId="77777777" w:rsidR="00DE5E45" w:rsidRPr="00B15A5B" w:rsidRDefault="00DE5E45" w:rsidP="00DE5E45">
            <w:pPr>
              <w:rPr>
                <w:rFonts w:ascii="Arial" w:eastAsia="Times New Roman" w:hAnsi="Arial" w:cs="Arial"/>
                <w:sz w:val="24"/>
                <w:szCs w:val="20"/>
              </w:rPr>
            </w:pPr>
          </w:p>
          <w:p w14:paraId="7AFCD624" w14:textId="77777777" w:rsidR="007A765C" w:rsidRPr="00B15A5B" w:rsidRDefault="007A765C" w:rsidP="00DE5E45">
            <w:pPr>
              <w:rPr>
                <w:rFonts w:ascii="Arial" w:eastAsia="Times New Roman" w:hAnsi="Arial" w:cs="Arial"/>
                <w:sz w:val="24"/>
                <w:szCs w:val="20"/>
              </w:rPr>
            </w:pPr>
            <w:r w:rsidRPr="00B15A5B">
              <w:rPr>
                <w:rFonts w:ascii="Arial" w:eastAsia="Times New Roman" w:hAnsi="Arial" w:cs="Arial"/>
                <w:sz w:val="24"/>
                <w:szCs w:val="20"/>
              </w:rPr>
              <w:t>Chichester District Council</w:t>
            </w:r>
          </w:p>
          <w:p w14:paraId="50B00A67" w14:textId="77777777" w:rsidR="007A765C" w:rsidRPr="00B15A5B" w:rsidRDefault="007A765C" w:rsidP="00DE5E45">
            <w:pPr>
              <w:rPr>
                <w:rFonts w:ascii="Arial" w:eastAsia="Times New Roman" w:hAnsi="Arial" w:cs="Arial"/>
                <w:sz w:val="24"/>
                <w:szCs w:val="20"/>
              </w:rPr>
            </w:pPr>
            <w:r w:rsidRPr="00B15A5B">
              <w:rPr>
                <w:rFonts w:ascii="Arial" w:eastAsia="Times New Roman" w:hAnsi="Arial" w:cs="Arial"/>
                <w:sz w:val="24"/>
                <w:szCs w:val="20"/>
              </w:rPr>
              <w:t>Pallant House</w:t>
            </w:r>
          </w:p>
          <w:p w14:paraId="0C8BFDD8" w14:textId="77777777" w:rsidR="007A765C" w:rsidRPr="00B15A5B" w:rsidRDefault="007A765C" w:rsidP="00DE5E45">
            <w:pPr>
              <w:rPr>
                <w:rFonts w:ascii="Arial" w:eastAsia="Times New Roman" w:hAnsi="Arial" w:cs="Arial"/>
                <w:sz w:val="24"/>
                <w:szCs w:val="20"/>
              </w:rPr>
            </w:pPr>
            <w:r w:rsidRPr="00B15A5B">
              <w:rPr>
                <w:rFonts w:ascii="Arial" w:eastAsia="Times New Roman" w:hAnsi="Arial" w:cs="Arial"/>
                <w:sz w:val="24"/>
                <w:szCs w:val="20"/>
              </w:rPr>
              <w:t>1 East Pallant</w:t>
            </w:r>
          </w:p>
          <w:p w14:paraId="7195F493" w14:textId="77777777" w:rsidR="007A765C" w:rsidRPr="00B15A5B" w:rsidRDefault="007A765C" w:rsidP="00DE5E45">
            <w:pPr>
              <w:rPr>
                <w:rFonts w:ascii="Arial" w:eastAsia="Times New Roman" w:hAnsi="Arial" w:cs="Arial"/>
                <w:sz w:val="24"/>
                <w:szCs w:val="20"/>
              </w:rPr>
            </w:pPr>
            <w:r w:rsidRPr="00B15A5B">
              <w:rPr>
                <w:rFonts w:ascii="Arial" w:eastAsia="Times New Roman" w:hAnsi="Arial" w:cs="Arial"/>
                <w:sz w:val="24"/>
                <w:szCs w:val="20"/>
              </w:rPr>
              <w:t>Chichester</w:t>
            </w:r>
          </w:p>
          <w:p w14:paraId="20D49295" w14:textId="77777777" w:rsidR="007A765C" w:rsidRPr="00B15A5B" w:rsidRDefault="007A765C" w:rsidP="00DE5E45">
            <w:pPr>
              <w:rPr>
                <w:rFonts w:ascii="Arial" w:eastAsia="Times New Roman" w:hAnsi="Arial" w:cs="Arial"/>
                <w:sz w:val="24"/>
                <w:szCs w:val="20"/>
              </w:rPr>
            </w:pPr>
            <w:r w:rsidRPr="00B15A5B">
              <w:rPr>
                <w:rFonts w:ascii="Arial" w:eastAsia="Times New Roman" w:hAnsi="Arial" w:cs="Arial"/>
                <w:sz w:val="24"/>
                <w:szCs w:val="20"/>
              </w:rPr>
              <w:t>PO19 1TY</w:t>
            </w:r>
          </w:p>
          <w:p w14:paraId="16081641" w14:textId="77777777" w:rsidR="00DE5E45" w:rsidRPr="00B15A5B" w:rsidRDefault="00DE5E45" w:rsidP="00DE5E45">
            <w:pPr>
              <w:rPr>
                <w:rFonts w:ascii="Arial" w:eastAsia="Times New Roman" w:hAnsi="Arial" w:cs="Arial"/>
                <w:sz w:val="24"/>
                <w:szCs w:val="20"/>
              </w:rPr>
            </w:pPr>
          </w:p>
        </w:tc>
      </w:tr>
      <w:tr w:rsidR="007A765C" w14:paraId="0AE60972" w14:textId="77777777" w:rsidTr="00DE5E45">
        <w:tc>
          <w:tcPr>
            <w:tcW w:w="3227" w:type="dxa"/>
            <w:shd w:val="clear" w:color="auto" w:fill="01CC58"/>
            <w:vAlign w:val="center"/>
          </w:tcPr>
          <w:p w14:paraId="75DC73CB" w14:textId="77777777" w:rsidR="007A765C" w:rsidRPr="00B15A5B" w:rsidRDefault="007A765C" w:rsidP="00DE5E45">
            <w:pPr>
              <w:rPr>
                <w:rFonts w:ascii="Arial" w:eastAsia="Times New Roman" w:hAnsi="Arial" w:cs="Arial"/>
                <w:b/>
                <w:sz w:val="24"/>
                <w:szCs w:val="20"/>
              </w:rPr>
            </w:pPr>
            <w:r w:rsidRPr="00B15A5B">
              <w:rPr>
                <w:rFonts w:ascii="Arial" w:eastAsia="Times New Roman" w:hAnsi="Arial" w:cs="Arial"/>
                <w:b/>
                <w:sz w:val="24"/>
                <w:szCs w:val="20"/>
              </w:rPr>
              <w:t xml:space="preserve">Telephone </w:t>
            </w:r>
          </w:p>
          <w:p w14:paraId="25531833" w14:textId="77777777" w:rsidR="00DE5E45" w:rsidRPr="00B15A5B" w:rsidRDefault="00DE5E45" w:rsidP="00DE5E45">
            <w:pPr>
              <w:rPr>
                <w:rFonts w:ascii="Arial" w:eastAsia="Times New Roman" w:hAnsi="Arial" w:cs="Arial"/>
                <w:b/>
                <w:sz w:val="24"/>
                <w:szCs w:val="20"/>
              </w:rPr>
            </w:pPr>
          </w:p>
        </w:tc>
        <w:tc>
          <w:tcPr>
            <w:tcW w:w="6059" w:type="dxa"/>
            <w:vAlign w:val="center"/>
          </w:tcPr>
          <w:p w14:paraId="7FD43444" w14:textId="77777777" w:rsidR="007A765C" w:rsidRPr="00B15A5B" w:rsidRDefault="007A765C" w:rsidP="00DE5E45">
            <w:pPr>
              <w:rPr>
                <w:rFonts w:ascii="Arial" w:eastAsia="Times New Roman" w:hAnsi="Arial" w:cs="Arial"/>
                <w:sz w:val="24"/>
                <w:szCs w:val="20"/>
              </w:rPr>
            </w:pPr>
            <w:r w:rsidRPr="00B15A5B">
              <w:rPr>
                <w:rFonts w:ascii="Arial" w:eastAsia="Times New Roman" w:hAnsi="Arial" w:cs="Arial"/>
                <w:sz w:val="24"/>
                <w:szCs w:val="20"/>
              </w:rPr>
              <w:t>01243 534694</w:t>
            </w:r>
          </w:p>
        </w:tc>
      </w:tr>
      <w:tr w:rsidR="007A765C" w14:paraId="7A0CA120" w14:textId="77777777" w:rsidTr="00DE5E45">
        <w:tc>
          <w:tcPr>
            <w:tcW w:w="3227" w:type="dxa"/>
            <w:shd w:val="clear" w:color="auto" w:fill="01CC58"/>
            <w:vAlign w:val="center"/>
          </w:tcPr>
          <w:p w14:paraId="36050DE4" w14:textId="77777777" w:rsidR="007A765C" w:rsidRPr="00B15A5B" w:rsidRDefault="007A765C" w:rsidP="00DE5E45">
            <w:pPr>
              <w:rPr>
                <w:rFonts w:ascii="Arial" w:eastAsia="Times New Roman" w:hAnsi="Arial" w:cs="Arial"/>
                <w:b/>
                <w:sz w:val="24"/>
                <w:szCs w:val="20"/>
              </w:rPr>
            </w:pPr>
            <w:r w:rsidRPr="00B15A5B">
              <w:rPr>
                <w:rFonts w:ascii="Arial" w:eastAsia="Times New Roman" w:hAnsi="Arial" w:cs="Arial"/>
                <w:b/>
                <w:sz w:val="24"/>
                <w:szCs w:val="20"/>
              </w:rPr>
              <w:t>E-mail</w:t>
            </w:r>
          </w:p>
          <w:p w14:paraId="7AF2B57F" w14:textId="77777777" w:rsidR="00DE5E45" w:rsidRPr="00B15A5B" w:rsidRDefault="00DE5E45" w:rsidP="00DE5E45">
            <w:pPr>
              <w:rPr>
                <w:rFonts w:ascii="Arial" w:eastAsia="Times New Roman" w:hAnsi="Arial" w:cs="Arial"/>
                <w:b/>
                <w:sz w:val="24"/>
                <w:szCs w:val="20"/>
              </w:rPr>
            </w:pPr>
          </w:p>
        </w:tc>
        <w:tc>
          <w:tcPr>
            <w:tcW w:w="6059" w:type="dxa"/>
            <w:vAlign w:val="center"/>
          </w:tcPr>
          <w:p w14:paraId="4C29C8E4" w14:textId="0338D1AA" w:rsidR="007A765C" w:rsidRPr="00B15A5B" w:rsidRDefault="00350455" w:rsidP="00DE5E45">
            <w:pPr>
              <w:rPr>
                <w:rFonts w:ascii="Arial" w:eastAsia="Times New Roman" w:hAnsi="Arial" w:cs="Arial"/>
                <w:sz w:val="24"/>
                <w:szCs w:val="20"/>
              </w:rPr>
            </w:pPr>
            <w:hyperlink r:id="rId12" w:history="1">
              <w:r w:rsidR="007A765C" w:rsidRPr="00B15A5B">
                <w:rPr>
                  <w:rFonts w:ascii="Arial" w:eastAsia="Times New Roman" w:hAnsi="Arial" w:cs="Arial"/>
                  <w:sz w:val="24"/>
                  <w:szCs w:val="20"/>
                </w:rPr>
                <w:t>sballard@chichester.gov.uk</w:t>
              </w:r>
            </w:hyperlink>
            <w:r w:rsidR="00843B7F">
              <w:rPr>
                <w:rFonts w:ascii="Arial" w:eastAsia="Times New Roman" w:hAnsi="Arial" w:cs="Arial"/>
                <w:sz w:val="24"/>
                <w:szCs w:val="20"/>
              </w:rPr>
              <w:t xml:space="preserve"> </w:t>
            </w:r>
            <w:r w:rsidR="007A765C" w:rsidRPr="00B15A5B">
              <w:rPr>
                <w:rFonts w:ascii="Arial" w:eastAsia="Times New Roman" w:hAnsi="Arial" w:cs="Arial"/>
                <w:sz w:val="24"/>
                <w:szCs w:val="20"/>
              </w:rPr>
              <w:t xml:space="preserve"> </w:t>
            </w:r>
          </w:p>
        </w:tc>
      </w:tr>
      <w:tr w:rsidR="007A765C" w14:paraId="785AF3B6" w14:textId="77777777" w:rsidTr="00DE5E45">
        <w:tc>
          <w:tcPr>
            <w:tcW w:w="3227" w:type="dxa"/>
            <w:shd w:val="clear" w:color="auto" w:fill="01CC58"/>
            <w:vAlign w:val="center"/>
          </w:tcPr>
          <w:p w14:paraId="518E41B5" w14:textId="77777777" w:rsidR="007A765C" w:rsidRPr="00B15A5B" w:rsidRDefault="007A765C" w:rsidP="00DE5E45">
            <w:pPr>
              <w:rPr>
                <w:rFonts w:ascii="Arial" w:eastAsia="Times New Roman" w:hAnsi="Arial" w:cs="Arial"/>
                <w:b/>
                <w:sz w:val="24"/>
                <w:szCs w:val="20"/>
              </w:rPr>
            </w:pPr>
            <w:r w:rsidRPr="00B15A5B">
              <w:rPr>
                <w:rFonts w:ascii="Arial" w:eastAsia="Times New Roman" w:hAnsi="Arial" w:cs="Arial"/>
                <w:b/>
                <w:sz w:val="24"/>
                <w:szCs w:val="20"/>
              </w:rPr>
              <w:t>Report Reference Number</w:t>
            </w:r>
          </w:p>
        </w:tc>
        <w:tc>
          <w:tcPr>
            <w:tcW w:w="6059" w:type="dxa"/>
            <w:vAlign w:val="center"/>
          </w:tcPr>
          <w:p w14:paraId="597BAAF9" w14:textId="77777777" w:rsidR="007A765C" w:rsidRPr="00B15A5B" w:rsidRDefault="007A765C" w:rsidP="00DE5E45">
            <w:pPr>
              <w:rPr>
                <w:rFonts w:ascii="Arial" w:eastAsia="Times New Roman" w:hAnsi="Arial" w:cs="Arial"/>
                <w:sz w:val="24"/>
                <w:szCs w:val="20"/>
              </w:rPr>
            </w:pPr>
            <w:r w:rsidRPr="00B15A5B">
              <w:rPr>
                <w:rFonts w:ascii="Arial" w:eastAsia="Times New Roman" w:hAnsi="Arial" w:cs="Arial"/>
                <w:sz w:val="24"/>
                <w:szCs w:val="20"/>
              </w:rPr>
              <w:t>AQAP 2021 – 2026</w:t>
            </w:r>
          </w:p>
        </w:tc>
      </w:tr>
      <w:tr w:rsidR="007A765C" w14:paraId="459B802A" w14:textId="77777777" w:rsidTr="00DE5E45">
        <w:tc>
          <w:tcPr>
            <w:tcW w:w="3227" w:type="dxa"/>
            <w:shd w:val="clear" w:color="auto" w:fill="01CC58"/>
            <w:vAlign w:val="center"/>
          </w:tcPr>
          <w:p w14:paraId="5444847A" w14:textId="77777777" w:rsidR="007A765C" w:rsidRPr="00B15A5B" w:rsidRDefault="007A765C" w:rsidP="00DE5E45">
            <w:pPr>
              <w:rPr>
                <w:rFonts w:ascii="Arial" w:eastAsia="Times New Roman" w:hAnsi="Arial" w:cs="Arial"/>
                <w:b/>
                <w:sz w:val="24"/>
                <w:szCs w:val="20"/>
              </w:rPr>
            </w:pPr>
            <w:r w:rsidRPr="00B15A5B">
              <w:rPr>
                <w:rFonts w:ascii="Arial" w:eastAsia="Times New Roman" w:hAnsi="Arial" w:cs="Arial"/>
                <w:b/>
                <w:sz w:val="24"/>
                <w:szCs w:val="20"/>
              </w:rPr>
              <w:t>Date</w:t>
            </w:r>
          </w:p>
          <w:p w14:paraId="639B23CB" w14:textId="77777777" w:rsidR="00DE5E45" w:rsidRPr="00B15A5B" w:rsidRDefault="00DE5E45" w:rsidP="00DE5E45">
            <w:pPr>
              <w:rPr>
                <w:rFonts w:ascii="Arial" w:eastAsia="Times New Roman" w:hAnsi="Arial" w:cs="Arial"/>
                <w:b/>
                <w:sz w:val="24"/>
                <w:szCs w:val="20"/>
              </w:rPr>
            </w:pPr>
          </w:p>
        </w:tc>
        <w:tc>
          <w:tcPr>
            <w:tcW w:w="6059" w:type="dxa"/>
            <w:vAlign w:val="center"/>
          </w:tcPr>
          <w:p w14:paraId="51B91D07" w14:textId="6C82D022" w:rsidR="007A765C" w:rsidRPr="00B15A5B" w:rsidRDefault="00843B7F" w:rsidP="00DE5E45">
            <w:pPr>
              <w:rPr>
                <w:rFonts w:ascii="Arial" w:eastAsia="Times New Roman" w:hAnsi="Arial" w:cs="Arial"/>
                <w:sz w:val="24"/>
                <w:szCs w:val="20"/>
              </w:rPr>
            </w:pPr>
            <w:r>
              <w:rPr>
                <w:rFonts w:ascii="Arial" w:eastAsia="Times New Roman" w:hAnsi="Arial" w:cs="Arial"/>
                <w:sz w:val="24"/>
                <w:szCs w:val="20"/>
              </w:rPr>
              <w:t>July</w:t>
            </w:r>
            <w:r w:rsidRPr="00B15A5B">
              <w:rPr>
                <w:rFonts w:ascii="Arial" w:eastAsia="Times New Roman" w:hAnsi="Arial" w:cs="Arial"/>
                <w:sz w:val="24"/>
                <w:szCs w:val="20"/>
              </w:rPr>
              <w:t xml:space="preserve"> </w:t>
            </w:r>
            <w:r w:rsidR="007A765C" w:rsidRPr="00B15A5B">
              <w:rPr>
                <w:rFonts w:ascii="Arial" w:eastAsia="Times New Roman" w:hAnsi="Arial" w:cs="Arial"/>
                <w:sz w:val="24"/>
                <w:szCs w:val="20"/>
              </w:rPr>
              <w:t>2021</w:t>
            </w:r>
          </w:p>
        </w:tc>
      </w:tr>
    </w:tbl>
    <w:p w14:paraId="7990B74D" w14:textId="77777777" w:rsidR="007A765C" w:rsidRPr="007A765C" w:rsidRDefault="007A765C" w:rsidP="007A765C">
      <w:pPr>
        <w:rPr>
          <w:rFonts w:eastAsia="Times New Roman" w:cs="Times New Roman"/>
          <w:b/>
          <w:szCs w:val="20"/>
        </w:rPr>
        <w:sectPr w:rsidR="007A765C" w:rsidRPr="007A765C" w:rsidSect="006F5637">
          <w:headerReference w:type="default" r:id="rId13"/>
          <w:footerReference w:type="default" r:id="rId14"/>
          <w:pgSz w:w="11906" w:h="16838" w:code="9"/>
          <w:pgMar w:top="1474" w:right="1418" w:bottom="1134" w:left="1418" w:header="964" w:footer="454" w:gutter="0"/>
          <w:pgNumType w:fmt="lowerRoman" w:start="1"/>
          <w:cols w:space="708"/>
          <w:docGrid w:linePitch="360"/>
        </w:sectPr>
      </w:pPr>
    </w:p>
    <w:p w14:paraId="3FD50254" w14:textId="77777777" w:rsidR="006B644D" w:rsidRDefault="006B644D">
      <w:r w:rsidRPr="006B644D">
        <w:rPr>
          <w:b/>
        </w:rPr>
        <w:lastRenderedPageBreak/>
        <w:t>Executive summary</w:t>
      </w:r>
    </w:p>
    <w:p w14:paraId="69C72602" w14:textId="77B8CB36" w:rsidR="006B644D" w:rsidRDefault="009B023F">
      <w:r>
        <w:t xml:space="preserve">Chichester District Council (CDC) has produced this revised </w:t>
      </w:r>
      <w:r w:rsidR="00C2280B">
        <w:t xml:space="preserve">Air Quality </w:t>
      </w:r>
      <w:r>
        <w:t>Action Plan</w:t>
      </w:r>
      <w:r w:rsidR="00843B7F">
        <w:t xml:space="preserve"> (AQAP)</w:t>
      </w:r>
      <w:r>
        <w:t xml:space="preserve"> as part of its duty under the Environment Act 1995 subsequent to the declaration of </w:t>
      </w:r>
      <w:r w:rsidR="00FD7AEB">
        <w:t>four</w:t>
      </w:r>
      <w:r>
        <w:t xml:space="preserve"> Air Quality Management Areas (AQMAs). The AQMAs are declared in relation to air quality in locations failing to meet the UK air quality </w:t>
      </w:r>
      <w:r w:rsidR="00FD7AEB">
        <w:t xml:space="preserve">objective for </w:t>
      </w:r>
      <w:r w:rsidR="00CE5EDE">
        <w:t>N</w:t>
      </w:r>
      <w:r w:rsidR="00FD7AEB">
        <w:t xml:space="preserve">itrogen </w:t>
      </w:r>
      <w:r w:rsidR="00CE5EDE">
        <w:t>D</w:t>
      </w:r>
      <w:r w:rsidR="00FD7AEB">
        <w:t>ioxide</w:t>
      </w:r>
      <w:r w:rsidR="00CE5EDE">
        <w:t xml:space="preserve"> (NO</w:t>
      </w:r>
      <w:r w:rsidR="00CE5EDE" w:rsidRPr="00CE5EDE">
        <w:rPr>
          <w:vertAlign w:val="subscript"/>
        </w:rPr>
        <w:t>2</w:t>
      </w:r>
      <w:r w:rsidR="00CE5EDE">
        <w:t>)</w:t>
      </w:r>
      <w:r>
        <w:t>. The declaration of an AQMA places a statutory obligation on us to produce an AQAP.</w:t>
      </w:r>
    </w:p>
    <w:p w14:paraId="1809FE3C" w14:textId="77777777" w:rsidR="002D17F8" w:rsidRDefault="00CE5EDE">
      <w:r>
        <w:t>This</w:t>
      </w:r>
      <w:r w:rsidR="00DE5E45">
        <w:t xml:space="preserve"> Plan </w:t>
      </w:r>
      <w:r w:rsidR="00C2280B">
        <w:t xml:space="preserve">presents and </w:t>
      </w:r>
      <w:r w:rsidR="00DE5E45">
        <w:t>responds to the evidence gathered from our air quality monitoring and modelling and an analysis of the sources of air pollution contributing to the problem.</w:t>
      </w:r>
      <w:r w:rsidR="00C2280B">
        <w:t xml:space="preserve"> The data does provide some good news in that Nitrogen Dioxide concentrations have fallen in recent years and our recent computerised modelling suggests that this trend will continue. </w:t>
      </w:r>
      <w:r w:rsidR="002D17F8">
        <w:t xml:space="preserve">Two of our four AQMAs could be ‘undeclared’ (Orchard Street and Stockbridge A27 roundabout) and Rumbolds Hill is currently borderline compliant with the relevant standard. St Pancras, Chichester remains non-compliant. </w:t>
      </w:r>
    </w:p>
    <w:p w14:paraId="526AFFAA" w14:textId="4B827B59" w:rsidR="00DE5E45" w:rsidRDefault="00C2280B">
      <w:r>
        <w:t>Nevertheless</w:t>
      </w:r>
      <w:r w:rsidR="002D17F8">
        <w:t xml:space="preserve">, despite the positive news, </w:t>
      </w:r>
      <w:r>
        <w:t>we cannot be complacent as air pollution does impact on health at concentrations below the UK’</w:t>
      </w:r>
      <w:r w:rsidR="002D17F8">
        <w:t>s air quality standards and is the biggest environmental impact on health across the UK.</w:t>
      </w:r>
      <w:r w:rsidR="00950A1D">
        <w:t xml:space="preserve"> Similarly the emphasis through LAQM has been on Nitrogen Dioxide. During the lifetime of this AQAP the Government will, through commitments made in the Environment </w:t>
      </w:r>
      <w:r w:rsidR="000F474F">
        <w:t>Act</w:t>
      </w:r>
      <w:r w:rsidR="00950A1D">
        <w:t>, adopt a binding standard for PM</w:t>
      </w:r>
      <w:r w:rsidR="00950A1D" w:rsidRPr="00C8232C">
        <w:rPr>
          <w:vertAlign w:val="subscript"/>
        </w:rPr>
        <w:t>2.5</w:t>
      </w:r>
      <w:r w:rsidR="00950A1D">
        <w:t xml:space="preserve"> particulates. This pollutant is a very important from a public health perspective such that this AQAP includes actions targeted at local sources of PM</w:t>
      </w:r>
      <w:r w:rsidR="00950A1D" w:rsidRPr="00C8232C">
        <w:rPr>
          <w:vertAlign w:val="subscript"/>
        </w:rPr>
        <w:t>2.5</w:t>
      </w:r>
      <w:r w:rsidR="00950A1D">
        <w:t xml:space="preserve">. </w:t>
      </w:r>
    </w:p>
    <w:p w14:paraId="6DDEFB9D" w14:textId="77777777" w:rsidR="009B023F" w:rsidRDefault="00CD4878">
      <w:r>
        <w:t>Since our 20</w:t>
      </w:r>
      <w:r w:rsidR="00A70C6B">
        <w:t>15</w:t>
      </w:r>
      <w:r>
        <w:t xml:space="preserve"> AQAP there have been various events that have made the context for an AQAP significantly different to </w:t>
      </w:r>
      <w:r w:rsidR="00A70C6B">
        <w:t>five</w:t>
      </w:r>
      <w:r>
        <w:t xml:space="preserve"> years ago. The science that quantifies the</w:t>
      </w:r>
      <w:r w:rsidR="00C2280B">
        <w:t xml:space="preserve"> </w:t>
      </w:r>
      <w:r w:rsidR="002D17F8">
        <w:t xml:space="preserve">health </w:t>
      </w:r>
      <w:r>
        <w:t>impact</w:t>
      </w:r>
      <w:r w:rsidR="002D17F8">
        <w:t>s</w:t>
      </w:r>
      <w:r>
        <w:t xml:space="preserve"> of air pollution continues to become more refined with figures now being available for regional h</w:t>
      </w:r>
      <w:r w:rsidR="00A70C6B">
        <w:t>ealth impacts</w:t>
      </w:r>
      <w:r w:rsidR="002D17F8">
        <w:t xml:space="preserve"> and air pollution being associated with a wide range of impacts on human health.</w:t>
      </w:r>
    </w:p>
    <w:p w14:paraId="1E67B497" w14:textId="0758C836" w:rsidR="00A70C6B" w:rsidRDefault="00A70C6B" w:rsidP="00A70C6B">
      <w:pPr>
        <w:snapToGrid w:val="0"/>
      </w:pPr>
      <w:r w:rsidRPr="00A70C6B">
        <w:t>This AQAP sets out actions that will positively impact on our local air quality. These actions are both within and beyond the powers of this Council</w:t>
      </w:r>
      <w:r w:rsidR="00C2280B">
        <w:t xml:space="preserve"> and likewise its finances</w:t>
      </w:r>
      <w:r w:rsidRPr="00A70C6B">
        <w:t>. As such the actions proposed in this document will rely on effective engagement with our partners</w:t>
      </w:r>
      <w:r w:rsidR="00C2280B">
        <w:t xml:space="preserve"> both to galvanise effective action and to seek monies to fund related projects</w:t>
      </w:r>
      <w:r w:rsidRPr="00A70C6B">
        <w:t>. In this context our key partners are West Sussex County Council,</w:t>
      </w:r>
      <w:r w:rsidR="006D15FF" w:rsidRPr="006D15FF">
        <w:t xml:space="preserve"> </w:t>
      </w:r>
      <w:r w:rsidR="006D15FF" w:rsidRPr="00A70C6B">
        <w:t xml:space="preserve">Highways </w:t>
      </w:r>
      <w:r w:rsidR="006D15FF">
        <w:t>England and</w:t>
      </w:r>
      <w:r w:rsidRPr="00A70C6B">
        <w:t xml:space="preserve"> the local community</w:t>
      </w:r>
      <w:r w:rsidR="006D15FF">
        <w:t>.</w:t>
      </w:r>
      <w:r w:rsidRPr="00A70C6B">
        <w:t xml:space="preserve"> </w:t>
      </w:r>
    </w:p>
    <w:p w14:paraId="0B87D6C1" w14:textId="77777777" w:rsidR="00DE5E45" w:rsidRDefault="00DE5E45" w:rsidP="00A70C6B">
      <w:pPr>
        <w:snapToGrid w:val="0"/>
      </w:pPr>
      <w:r>
        <w:t xml:space="preserve">Tackling </w:t>
      </w:r>
      <w:r w:rsidR="00D72DD7">
        <w:t xml:space="preserve">gaseous </w:t>
      </w:r>
      <w:r w:rsidR="00861754">
        <w:t>transport emissions locally requires a move away from liquid fuelled vehicles. Using the evidence available key transport sectors can be targeted with policies to regulate, support and incentivise the shift. This particularly applies to diesel fuelled vehicles.</w:t>
      </w:r>
    </w:p>
    <w:p w14:paraId="7546720B" w14:textId="77777777" w:rsidR="00861754" w:rsidRDefault="00861754" w:rsidP="00A70C6B">
      <w:pPr>
        <w:snapToGrid w:val="0"/>
      </w:pPr>
      <w:r>
        <w:t>Maintaining or reducing pollutant levels and improving health in the context of new housing and employment related development requires evidence-based land-use and transport planning policies and actions.</w:t>
      </w:r>
    </w:p>
    <w:p w14:paraId="2A91F839" w14:textId="77777777" w:rsidR="00861754" w:rsidRDefault="00861754" w:rsidP="00A70C6B">
      <w:pPr>
        <w:snapToGrid w:val="0"/>
      </w:pPr>
      <w:r>
        <w:t xml:space="preserve">The Action Plan details the most immediate and developed actions, outlines the actions in development and highlights those wider actions contributing to improved air quality. </w:t>
      </w:r>
      <w:r w:rsidR="003E6D08">
        <w:t>Where possible it</w:t>
      </w:r>
      <w:r>
        <w:t xml:space="preserve"> sets out the known timescales, and report</w:t>
      </w:r>
      <w:r w:rsidR="003E6D08">
        <w:t>ing metrics for those actions. However t</w:t>
      </w:r>
      <w:r>
        <w:t xml:space="preserve">he document is required to be flexible and </w:t>
      </w:r>
      <w:r w:rsidR="003E6D08">
        <w:t xml:space="preserve">be able to </w:t>
      </w:r>
      <w:r>
        <w:t>respond to funding and policy changes.</w:t>
      </w:r>
    </w:p>
    <w:p w14:paraId="3CEC6FA9" w14:textId="77777777" w:rsidR="00861754" w:rsidRPr="00A70C6B" w:rsidRDefault="00861754" w:rsidP="00A70C6B">
      <w:pPr>
        <w:snapToGrid w:val="0"/>
      </w:pPr>
      <w:r>
        <w:lastRenderedPageBreak/>
        <w:t>Update on progress with the AQAP measures, including the new measures, will be incorporated into the Annual Status Report on air quality in Chichester District; the most recent version is available on the Council website</w:t>
      </w:r>
      <w:r>
        <w:rPr>
          <w:rStyle w:val="FootnoteReference"/>
        </w:rPr>
        <w:footnoteReference w:id="1"/>
      </w:r>
      <w:r>
        <w:t>.</w:t>
      </w:r>
      <w:r w:rsidR="00156F7C">
        <w:t xml:space="preserve"> </w:t>
      </w:r>
    </w:p>
    <w:p w14:paraId="55846EC6" w14:textId="77777777" w:rsidR="00CD4878" w:rsidRDefault="00CC11A0">
      <w:pPr>
        <w:rPr>
          <w:b/>
        </w:rPr>
      </w:pPr>
      <w:r>
        <w:rPr>
          <w:b/>
        </w:rPr>
        <w:t>Responsibilities and Commitment</w:t>
      </w:r>
    </w:p>
    <w:p w14:paraId="549A8D9A" w14:textId="77777777" w:rsidR="00CC11A0" w:rsidRDefault="00CC11A0">
      <w:r>
        <w:t>This AQAP was prepared by CDC’s Environmental Protection Team with the support and agreement of the following:</w:t>
      </w:r>
    </w:p>
    <w:tbl>
      <w:tblPr>
        <w:tblStyle w:val="TableGrid"/>
        <w:tblW w:w="0" w:type="auto"/>
        <w:tblLook w:val="04A0" w:firstRow="1" w:lastRow="0" w:firstColumn="1" w:lastColumn="0" w:noHBand="0" w:noVBand="1"/>
      </w:tblPr>
      <w:tblGrid>
        <w:gridCol w:w="1914"/>
        <w:gridCol w:w="7102"/>
      </w:tblGrid>
      <w:tr w:rsidR="00D72DD7" w14:paraId="7E351EB4" w14:textId="77777777" w:rsidTr="00CC11A0">
        <w:tc>
          <w:tcPr>
            <w:tcW w:w="1951" w:type="dxa"/>
          </w:tcPr>
          <w:p w14:paraId="48372775" w14:textId="77777777" w:rsidR="00D72DD7" w:rsidRDefault="00D72DD7">
            <w:r>
              <w:t xml:space="preserve">CDC </w:t>
            </w:r>
          </w:p>
        </w:tc>
        <w:tc>
          <w:tcPr>
            <w:tcW w:w="7291" w:type="dxa"/>
          </w:tcPr>
          <w:p w14:paraId="06F19D88" w14:textId="77777777" w:rsidR="00D72DD7" w:rsidRDefault="00D72DD7">
            <w:r>
              <w:t>Planning Policy</w:t>
            </w:r>
          </w:p>
        </w:tc>
      </w:tr>
      <w:tr w:rsidR="00D72DD7" w14:paraId="2A1FB31E" w14:textId="77777777" w:rsidTr="00CC11A0">
        <w:tc>
          <w:tcPr>
            <w:tcW w:w="1951" w:type="dxa"/>
          </w:tcPr>
          <w:p w14:paraId="56E7D75A" w14:textId="77777777" w:rsidR="00D72DD7" w:rsidRDefault="00D72DD7">
            <w:r>
              <w:t>CDC</w:t>
            </w:r>
          </w:p>
        </w:tc>
        <w:tc>
          <w:tcPr>
            <w:tcW w:w="7291" w:type="dxa"/>
          </w:tcPr>
          <w:p w14:paraId="173D6A32" w14:textId="77777777" w:rsidR="00D72DD7" w:rsidRDefault="00D72DD7" w:rsidP="00CC11A0">
            <w:r>
              <w:t>Development Control</w:t>
            </w:r>
          </w:p>
        </w:tc>
      </w:tr>
      <w:tr w:rsidR="00D72DD7" w14:paraId="1639AC63" w14:textId="77777777" w:rsidTr="00CC11A0">
        <w:tc>
          <w:tcPr>
            <w:tcW w:w="1951" w:type="dxa"/>
          </w:tcPr>
          <w:p w14:paraId="1D274D28" w14:textId="77777777" w:rsidR="00D72DD7" w:rsidRDefault="00D72DD7">
            <w:r>
              <w:t>Pan-Sussex</w:t>
            </w:r>
          </w:p>
        </w:tc>
        <w:tc>
          <w:tcPr>
            <w:tcW w:w="7291" w:type="dxa"/>
          </w:tcPr>
          <w:p w14:paraId="07C7C769" w14:textId="77777777" w:rsidR="00D72DD7" w:rsidRDefault="00D72DD7">
            <w:r>
              <w:t>Sussex-air</w:t>
            </w:r>
          </w:p>
        </w:tc>
      </w:tr>
      <w:tr w:rsidR="00D72DD7" w14:paraId="3183922E" w14:textId="77777777" w:rsidTr="00CC11A0">
        <w:tc>
          <w:tcPr>
            <w:tcW w:w="1951" w:type="dxa"/>
          </w:tcPr>
          <w:p w14:paraId="3D971002" w14:textId="77777777" w:rsidR="00D72DD7" w:rsidRDefault="00D72DD7">
            <w:r>
              <w:t>WSCC</w:t>
            </w:r>
          </w:p>
        </w:tc>
        <w:tc>
          <w:tcPr>
            <w:tcW w:w="7291" w:type="dxa"/>
          </w:tcPr>
          <w:p w14:paraId="674DDF7C" w14:textId="77777777" w:rsidR="00D72DD7" w:rsidRDefault="00D72DD7">
            <w:r>
              <w:t>Highways</w:t>
            </w:r>
          </w:p>
        </w:tc>
      </w:tr>
      <w:tr w:rsidR="00D72DD7" w14:paraId="0E4BD46E" w14:textId="77777777" w:rsidTr="00CC11A0">
        <w:tc>
          <w:tcPr>
            <w:tcW w:w="1951" w:type="dxa"/>
          </w:tcPr>
          <w:p w14:paraId="1F8BCB66" w14:textId="77777777" w:rsidR="00D72DD7" w:rsidRDefault="00D72DD7">
            <w:r>
              <w:t>WSCC</w:t>
            </w:r>
          </w:p>
        </w:tc>
        <w:tc>
          <w:tcPr>
            <w:tcW w:w="7291" w:type="dxa"/>
          </w:tcPr>
          <w:p w14:paraId="5106D5FB" w14:textId="77777777" w:rsidR="00D72DD7" w:rsidRDefault="00D72DD7">
            <w:r>
              <w:t>Public Health</w:t>
            </w:r>
          </w:p>
        </w:tc>
      </w:tr>
    </w:tbl>
    <w:p w14:paraId="0E213610" w14:textId="77777777" w:rsidR="00A66758" w:rsidRDefault="00A66758" w:rsidP="00FA6BDD">
      <w:pPr>
        <w:pStyle w:val="Appendix1"/>
        <w:spacing w:after="120" w:line="276" w:lineRule="auto"/>
        <w:rPr>
          <w:rFonts w:asciiTheme="minorHAnsi" w:eastAsiaTheme="minorHAnsi" w:hAnsiTheme="minorHAnsi" w:cstheme="minorBidi"/>
          <w:sz w:val="22"/>
          <w:szCs w:val="22"/>
        </w:rPr>
      </w:pPr>
    </w:p>
    <w:p w14:paraId="2B23BCD6" w14:textId="77777777" w:rsidR="00CC11A0" w:rsidRPr="00CC11A0" w:rsidRDefault="00CC11A0" w:rsidP="00FA6BDD">
      <w:pPr>
        <w:pStyle w:val="Appendix1"/>
        <w:spacing w:before="120" w:line="276" w:lineRule="auto"/>
        <w:rPr>
          <w:rFonts w:asciiTheme="minorHAnsi" w:eastAsiaTheme="minorHAnsi" w:hAnsiTheme="minorHAnsi" w:cstheme="minorBidi"/>
          <w:sz w:val="22"/>
          <w:szCs w:val="22"/>
        </w:rPr>
      </w:pPr>
      <w:r w:rsidRPr="00CC11A0">
        <w:rPr>
          <w:rFonts w:asciiTheme="minorHAnsi" w:eastAsiaTheme="minorHAnsi" w:hAnsiTheme="minorHAnsi" w:cstheme="minorBidi"/>
          <w:sz w:val="22"/>
          <w:szCs w:val="22"/>
        </w:rPr>
        <w:t xml:space="preserve">This AQAP will be subject to an annual review, appraisal of progress and reporting to </w:t>
      </w:r>
      <w:r>
        <w:rPr>
          <w:rFonts w:asciiTheme="minorHAnsi" w:eastAsiaTheme="minorHAnsi" w:hAnsiTheme="minorHAnsi" w:cstheme="minorBidi"/>
          <w:sz w:val="22"/>
          <w:szCs w:val="22"/>
        </w:rPr>
        <w:t>CDC’s</w:t>
      </w:r>
      <w:r w:rsidRPr="00CC11A0">
        <w:rPr>
          <w:rFonts w:asciiTheme="minorHAnsi" w:eastAsiaTheme="minorHAnsi" w:hAnsiTheme="minorHAnsi" w:cstheme="minorBidi"/>
          <w:sz w:val="22"/>
          <w:szCs w:val="22"/>
        </w:rPr>
        <w:t xml:space="preserve"> Environment Panel </w:t>
      </w:r>
      <w:r w:rsidR="00D066EC">
        <w:rPr>
          <w:rFonts w:asciiTheme="minorHAnsi" w:eastAsiaTheme="minorHAnsi" w:hAnsiTheme="minorHAnsi" w:cstheme="minorBidi"/>
          <w:sz w:val="22"/>
          <w:szCs w:val="22"/>
        </w:rPr>
        <w:t>by</w:t>
      </w:r>
      <w:r w:rsidRPr="00CC11A0">
        <w:rPr>
          <w:rFonts w:asciiTheme="minorHAnsi" w:eastAsiaTheme="minorHAnsi" w:hAnsiTheme="minorHAnsi" w:cstheme="minorBidi"/>
          <w:sz w:val="22"/>
          <w:szCs w:val="22"/>
        </w:rPr>
        <w:t xml:space="preserve"> the</w:t>
      </w:r>
      <w:r>
        <w:rPr>
          <w:rFonts w:asciiTheme="minorHAnsi" w:eastAsiaTheme="minorHAnsi" w:hAnsiTheme="minorHAnsi" w:cstheme="minorBidi"/>
          <w:sz w:val="22"/>
          <w:szCs w:val="22"/>
        </w:rPr>
        <w:t xml:space="preserve"> authority’s</w:t>
      </w:r>
      <w:r w:rsidRPr="00CC11A0">
        <w:rPr>
          <w:rFonts w:asciiTheme="minorHAnsi" w:eastAsiaTheme="minorHAnsi" w:hAnsiTheme="minorHAnsi" w:cstheme="minorBidi"/>
          <w:sz w:val="22"/>
          <w:szCs w:val="22"/>
        </w:rPr>
        <w:t xml:space="preserve"> Annual Status Reports (ASRs), as part of our statutory Local Air Quality Management duties</w:t>
      </w:r>
      <w:r>
        <w:rPr>
          <w:rFonts w:asciiTheme="minorHAnsi" w:eastAsiaTheme="minorHAnsi" w:hAnsiTheme="minorHAnsi" w:cstheme="minorBidi"/>
          <w:sz w:val="22"/>
          <w:szCs w:val="22"/>
        </w:rPr>
        <w:t>. All ASRs will be published on CDC’s website</w:t>
      </w:r>
      <w:r w:rsidRPr="00CC11A0">
        <w:rPr>
          <w:rFonts w:asciiTheme="minorHAnsi" w:eastAsiaTheme="minorHAnsi" w:hAnsiTheme="minorHAnsi" w:cstheme="minorBidi"/>
          <w:sz w:val="22"/>
          <w:szCs w:val="22"/>
        </w:rPr>
        <w:t>.</w:t>
      </w:r>
      <w:r w:rsidR="00156F7C">
        <w:rPr>
          <w:rFonts w:asciiTheme="minorHAnsi" w:eastAsiaTheme="minorHAnsi" w:hAnsiTheme="minorHAnsi" w:cstheme="minorBidi"/>
          <w:sz w:val="22"/>
          <w:szCs w:val="22"/>
        </w:rPr>
        <w:t xml:space="preserve"> </w:t>
      </w:r>
    </w:p>
    <w:p w14:paraId="151019FD" w14:textId="77777777" w:rsidR="00442FD7" w:rsidRDefault="00442FD7" w:rsidP="00442FD7">
      <w:r>
        <w:br w:type="page"/>
      </w:r>
    </w:p>
    <w:sdt>
      <w:sdtPr>
        <w:rPr>
          <w:rFonts w:asciiTheme="minorHAnsi" w:eastAsiaTheme="minorHAnsi" w:hAnsiTheme="minorHAnsi" w:cstheme="minorBidi"/>
          <w:b w:val="0"/>
          <w:bCs w:val="0"/>
          <w:color w:val="auto"/>
          <w:sz w:val="22"/>
          <w:szCs w:val="22"/>
          <w:lang w:val="en-GB" w:eastAsia="en-US"/>
        </w:rPr>
        <w:id w:val="1708606760"/>
        <w:docPartObj>
          <w:docPartGallery w:val="Table of Contents"/>
          <w:docPartUnique/>
        </w:docPartObj>
      </w:sdtPr>
      <w:sdtEndPr>
        <w:rPr>
          <w:noProof/>
        </w:rPr>
      </w:sdtEndPr>
      <w:sdtContent>
        <w:p w14:paraId="25C1B3E3" w14:textId="77777777" w:rsidR="00442FD7" w:rsidRDefault="00442FD7">
          <w:pPr>
            <w:pStyle w:val="TOCHeading"/>
          </w:pPr>
          <w:r>
            <w:t>Contents</w:t>
          </w:r>
        </w:p>
        <w:p w14:paraId="09F48511" w14:textId="531FFC7C" w:rsidR="001D4229" w:rsidRDefault="00442FD7">
          <w:pPr>
            <w:pStyle w:val="TOC1"/>
            <w:tabs>
              <w:tab w:val="left" w:pos="440"/>
              <w:tab w:val="right" w:leader="dot" w:pos="9016"/>
            </w:tabs>
            <w:rPr>
              <w:rFonts w:eastAsiaTheme="minorEastAsia"/>
              <w:noProof/>
              <w:lang w:eastAsia="en-GB"/>
            </w:rPr>
          </w:pPr>
          <w:r>
            <w:fldChar w:fldCharType="begin"/>
          </w:r>
          <w:r>
            <w:instrText xml:space="preserve"> TOC \o "1-3" \h \z \u </w:instrText>
          </w:r>
          <w:r>
            <w:fldChar w:fldCharType="separate"/>
          </w:r>
          <w:hyperlink w:anchor="_Toc96511351" w:history="1">
            <w:r w:rsidR="001D4229" w:rsidRPr="00C61445">
              <w:rPr>
                <w:rStyle w:val="Hyperlink"/>
                <w:noProof/>
              </w:rPr>
              <w:t>1.</w:t>
            </w:r>
            <w:r w:rsidR="001D4229">
              <w:rPr>
                <w:rFonts w:eastAsiaTheme="minorEastAsia"/>
                <w:noProof/>
                <w:lang w:eastAsia="en-GB"/>
              </w:rPr>
              <w:tab/>
            </w:r>
            <w:r w:rsidR="001D4229" w:rsidRPr="00C61445">
              <w:rPr>
                <w:rStyle w:val="Hyperlink"/>
                <w:noProof/>
              </w:rPr>
              <w:t>Introduction</w:t>
            </w:r>
            <w:r w:rsidR="001D4229">
              <w:rPr>
                <w:noProof/>
                <w:webHidden/>
              </w:rPr>
              <w:tab/>
            </w:r>
            <w:r w:rsidR="001D4229">
              <w:rPr>
                <w:noProof/>
                <w:webHidden/>
              </w:rPr>
              <w:fldChar w:fldCharType="begin"/>
            </w:r>
            <w:r w:rsidR="001D4229">
              <w:rPr>
                <w:noProof/>
                <w:webHidden/>
              </w:rPr>
              <w:instrText xml:space="preserve"> PAGEREF _Toc96511351 \h </w:instrText>
            </w:r>
            <w:r w:rsidR="001D4229">
              <w:rPr>
                <w:noProof/>
                <w:webHidden/>
              </w:rPr>
            </w:r>
            <w:r w:rsidR="001D4229">
              <w:rPr>
                <w:noProof/>
                <w:webHidden/>
              </w:rPr>
              <w:fldChar w:fldCharType="separate"/>
            </w:r>
            <w:r w:rsidR="001D4229">
              <w:rPr>
                <w:noProof/>
                <w:webHidden/>
              </w:rPr>
              <w:t>9</w:t>
            </w:r>
            <w:r w:rsidR="001D4229">
              <w:rPr>
                <w:noProof/>
                <w:webHidden/>
              </w:rPr>
              <w:fldChar w:fldCharType="end"/>
            </w:r>
          </w:hyperlink>
        </w:p>
        <w:p w14:paraId="04A18AF6" w14:textId="35BA98AA" w:rsidR="001D4229" w:rsidRDefault="00350455">
          <w:pPr>
            <w:pStyle w:val="TOC1"/>
            <w:tabs>
              <w:tab w:val="left" w:pos="440"/>
              <w:tab w:val="right" w:leader="dot" w:pos="9016"/>
            </w:tabs>
            <w:rPr>
              <w:rFonts w:eastAsiaTheme="minorEastAsia"/>
              <w:noProof/>
              <w:lang w:eastAsia="en-GB"/>
            </w:rPr>
          </w:pPr>
          <w:hyperlink w:anchor="_Toc96511352" w:history="1">
            <w:r w:rsidR="001D4229" w:rsidRPr="00C61445">
              <w:rPr>
                <w:rStyle w:val="Hyperlink"/>
                <w:noProof/>
              </w:rPr>
              <w:t>2.</w:t>
            </w:r>
            <w:r w:rsidR="001D4229">
              <w:rPr>
                <w:rFonts w:eastAsiaTheme="minorEastAsia"/>
                <w:noProof/>
                <w:lang w:eastAsia="en-GB"/>
              </w:rPr>
              <w:tab/>
            </w:r>
            <w:r w:rsidR="001D4229" w:rsidRPr="00C61445">
              <w:rPr>
                <w:rStyle w:val="Hyperlink"/>
                <w:noProof/>
              </w:rPr>
              <w:t>Review and Assessment of air quality</w:t>
            </w:r>
            <w:r w:rsidR="001D4229">
              <w:rPr>
                <w:noProof/>
                <w:webHidden/>
              </w:rPr>
              <w:tab/>
            </w:r>
            <w:r w:rsidR="001D4229">
              <w:rPr>
                <w:noProof/>
                <w:webHidden/>
              </w:rPr>
              <w:fldChar w:fldCharType="begin"/>
            </w:r>
            <w:r w:rsidR="001D4229">
              <w:rPr>
                <w:noProof/>
                <w:webHidden/>
              </w:rPr>
              <w:instrText xml:space="preserve"> PAGEREF _Toc96511352 \h </w:instrText>
            </w:r>
            <w:r w:rsidR="001D4229">
              <w:rPr>
                <w:noProof/>
                <w:webHidden/>
              </w:rPr>
            </w:r>
            <w:r w:rsidR="001D4229">
              <w:rPr>
                <w:noProof/>
                <w:webHidden/>
              </w:rPr>
              <w:fldChar w:fldCharType="separate"/>
            </w:r>
            <w:r w:rsidR="001D4229">
              <w:rPr>
                <w:noProof/>
                <w:webHidden/>
              </w:rPr>
              <w:t>9</w:t>
            </w:r>
            <w:r w:rsidR="001D4229">
              <w:rPr>
                <w:noProof/>
                <w:webHidden/>
              </w:rPr>
              <w:fldChar w:fldCharType="end"/>
            </w:r>
          </w:hyperlink>
        </w:p>
        <w:p w14:paraId="445CB22B" w14:textId="1EC652C8" w:rsidR="001D4229" w:rsidRDefault="00350455">
          <w:pPr>
            <w:pStyle w:val="TOC1"/>
            <w:tabs>
              <w:tab w:val="left" w:pos="440"/>
              <w:tab w:val="right" w:leader="dot" w:pos="9016"/>
            </w:tabs>
            <w:rPr>
              <w:rFonts w:eastAsiaTheme="minorEastAsia"/>
              <w:noProof/>
              <w:lang w:eastAsia="en-GB"/>
            </w:rPr>
          </w:pPr>
          <w:hyperlink w:anchor="_Toc96511353" w:history="1">
            <w:r w:rsidR="001D4229" w:rsidRPr="00C61445">
              <w:rPr>
                <w:rStyle w:val="Hyperlink"/>
                <w:noProof/>
              </w:rPr>
              <w:t>3.</w:t>
            </w:r>
            <w:r w:rsidR="001D4229">
              <w:rPr>
                <w:rFonts w:eastAsiaTheme="minorEastAsia"/>
                <w:noProof/>
                <w:lang w:eastAsia="en-GB"/>
              </w:rPr>
              <w:tab/>
            </w:r>
            <w:r w:rsidR="001D4229" w:rsidRPr="00C61445">
              <w:rPr>
                <w:rStyle w:val="Hyperlink"/>
                <w:noProof/>
              </w:rPr>
              <w:t>The National context</w:t>
            </w:r>
            <w:r w:rsidR="001D4229">
              <w:rPr>
                <w:noProof/>
                <w:webHidden/>
              </w:rPr>
              <w:tab/>
            </w:r>
            <w:r w:rsidR="001D4229">
              <w:rPr>
                <w:noProof/>
                <w:webHidden/>
              </w:rPr>
              <w:fldChar w:fldCharType="begin"/>
            </w:r>
            <w:r w:rsidR="001D4229">
              <w:rPr>
                <w:noProof/>
                <w:webHidden/>
              </w:rPr>
              <w:instrText xml:space="preserve"> PAGEREF _Toc96511353 \h </w:instrText>
            </w:r>
            <w:r w:rsidR="001D4229">
              <w:rPr>
                <w:noProof/>
                <w:webHidden/>
              </w:rPr>
            </w:r>
            <w:r w:rsidR="001D4229">
              <w:rPr>
                <w:noProof/>
                <w:webHidden/>
              </w:rPr>
              <w:fldChar w:fldCharType="separate"/>
            </w:r>
            <w:r w:rsidR="001D4229">
              <w:rPr>
                <w:noProof/>
                <w:webHidden/>
              </w:rPr>
              <w:t>10</w:t>
            </w:r>
            <w:r w:rsidR="001D4229">
              <w:rPr>
                <w:noProof/>
                <w:webHidden/>
              </w:rPr>
              <w:fldChar w:fldCharType="end"/>
            </w:r>
          </w:hyperlink>
        </w:p>
        <w:p w14:paraId="332BFB4E" w14:textId="6A1C77E9" w:rsidR="001D4229" w:rsidRDefault="00350455">
          <w:pPr>
            <w:pStyle w:val="TOC1"/>
            <w:tabs>
              <w:tab w:val="left" w:pos="440"/>
              <w:tab w:val="right" w:leader="dot" w:pos="9016"/>
            </w:tabs>
            <w:rPr>
              <w:rFonts w:eastAsiaTheme="minorEastAsia"/>
              <w:noProof/>
              <w:lang w:eastAsia="en-GB"/>
            </w:rPr>
          </w:pPr>
          <w:hyperlink w:anchor="_Toc96511354" w:history="1">
            <w:r w:rsidR="001D4229" w:rsidRPr="00C61445">
              <w:rPr>
                <w:rStyle w:val="Hyperlink"/>
                <w:noProof/>
              </w:rPr>
              <w:t>4.</w:t>
            </w:r>
            <w:r w:rsidR="001D4229">
              <w:rPr>
                <w:rFonts w:eastAsiaTheme="minorEastAsia"/>
                <w:noProof/>
                <w:lang w:eastAsia="en-GB"/>
              </w:rPr>
              <w:tab/>
            </w:r>
            <w:r w:rsidR="001D4229" w:rsidRPr="00C61445">
              <w:rPr>
                <w:rStyle w:val="Hyperlink"/>
                <w:noProof/>
              </w:rPr>
              <w:t>The Environment Act</w:t>
            </w:r>
            <w:r w:rsidR="001D4229">
              <w:rPr>
                <w:noProof/>
                <w:webHidden/>
              </w:rPr>
              <w:tab/>
            </w:r>
            <w:r w:rsidR="001D4229">
              <w:rPr>
                <w:noProof/>
                <w:webHidden/>
              </w:rPr>
              <w:fldChar w:fldCharType="begin"/>
            </w:r>
            <w:r w:rsidR="001D4229">
              <w:rPr>
                <w:noProof/>
                <w:webHidden/>
              </w:rPr>
              <w:instrText xml:space="preserve"> PAGEREF _Toc96511354 \h </w:instrText>
            </w:r>
            <w:r w:rsidR="001D4229">
              <w:rPr>
                <w:noProof/>
                <w:webHidden/>
              </w:rPr>
            </w:r>
            <w:r w:rsidR="001D4229">
              <w:rPr>
                <w:noProof/>
                <w:webHidden/>
              </w:rPr>
              <w:fldChar w:fldCharType="separate"/>
            </w:r>
            <w:r w:rsidR="001D4229">
              <w:rPr>
                <w:noProof/>
                <w:webHidden/>
              </w:rPr>
              <w:t>11</w:t>
            </w:r>
            <w:r w:rsidR="001D4229">
              <w:rPr>
                <w:noProof/>
                <w:webHidden/>
              </w:rPr>
              <w:fldChar w:fldCharType="end"/>
            </w:r>
          </w:hyperlink>
        </w:p>
        <w:p w14:paraId="3954B774" w14:textId="0837C4EC" w:rsidR="001D4229" w:rsidRDefault="00350455">
          <w:pPr>
            <w:pStyle w:val="TOC1"/>
            <w:tabs>
              <w:tab w:val="left" w:pos="440"/>
              <w:tab w:val="right" w:leader="dot" w:pos="9016"/>
            </w:tabs>
            <w:rPr>
              <w:rFonts w:eastAsiaTheme="minorEastAsia"/>
              <w:noProof/>
              <w:lang w:eastAsia="en-GB"/>
            </w:rPr>
          </w:pPr>
          <w:hyperlink w:anchor="_Toc96511355" w:history="1">
            <w:r w:rsidR="001D4229" w:rsidRPr="00C61445">
              <w:rPr>
                <w:rStyle w:val="Hyperlink"/>
                <w:noProof/>
              </w:rPr>
              <w:t>5.</w:t>
            </w:r>
            <w:r w:rsidR="001D4229">
              <w:rPr>
                <w:rFonts w:eastAsiaTheme="minorEastAsia"/>
                <w:noProof/>
                <w:lang w:eastAsia="en-GB"/>
              </w:rPr>
              <w:tab/>
            </w:r>
            <w:r w:rsidR="001D4229" w:rsidRPr="00C61445">
              <w:rPr>
                <w:rStyle w:val="Hyperlink"/>
                <w:noProof/>
              </w:rPr>
              <w:t>The Road to Zero</w:t>
            </w:r>
            <w:r w:rsidR="001D4229">
              <w:rPr>
                <w:noProof/>
                <w:webHidden/>
              </w:rPr>
              <w:tab/>
            </w:r>
            <w:r w:rsidR="001D4229">
              <w:rPr>
                <w:noProof/>
                <w:webHidden/>
              </w:rPr>
              <w:fldChar w:fldCharType="begin"/>
            </w:r>
            <w:r w:rsidR="001D4229">
              <w:rPr>
                <w:noProof/>
                <w:webHidden/>
              </w:rPr>
              <w:instrText xml:space="preserve"> PAGEREF _Toc96511355 \h </w:instrText>
            </w:r>
            <w:r w:rsidR="001D4229">
              <w:rPr>
                <w:noProof/>
                <w:webHidden/>
              </w:rPr>
            </w:r>
            <w:r w:rsidR="001D4229">
              <w:rPr>
                <w:noProof/>
                <w:webHidden/>
              </w:rPr>
              <w:fldChar w:fldCharType="separate"/>
            </w:r>
            <w:r w:rsidR="001D4229">
              <w:rPr>
                <w:noProof/>
                <w:webHidden/>
              </w:rPr>
              <w:t>11</w:t>
            </w:r>
            <w:r w:rsidR="001D4229">
              <w:rPr>
                <w:noProof/>
                <w:webHidden/>
              </w:rPr>
              <w:fldChar w:fldCharType="end"/>
            </w:r>
          </w:hyperlink>
        </w:p>
        <w:p w14:paraId="020EA800" w14:textId="301E50BC" w:rsidR="001D4229" w:rsidRDefault="00350455">
          <w:pPr>
            <w:pStyle w:val="TOC1"/>
            <w:tabs>
              <w:tab w:val="left" w:pos="440"/>
              <w:tab w:val="right" w:leader="dot" w:pos="9016"/>
            </w:tabs>
            <w:rPr>
              <w:rFonts w:eastAsiaTheme="minorEastAsia"/>
              <w:noProof/>
              <w:lang w:eastAsia="en-GB"/>
            </w:rPr>
          </w:pPr>
          <w:hyperlink w:anchor="_Toc96511356" w:history="1">
            <w:r w:rsidR="001D4229" w:rsidRPr="00C61445">
              <w:rPr>
                <w:rStyle w:val="Hyperlink"/>
                <w:noProof/>
              </w:rPr>
              <w:t>6.</w:t>
            </w:r>
            <w:r w:rsidR="001D4229">
              <w:rPr>
                <w:rFonts w:eastAsiaTheme="minorEastAsia"/>
                <w:noProof/>
                <w:lang w:eastAsia="en-GB"/>
              </w:rPr>
              <w:tab/>
            </w:r>
            <w:r w:rsidR="001D4229" w:rsidRPr="00C61445">
              <w:rPr>
                <w:rStyle w:val="Hyperlink"/>
                <w:noProof/>
              </w:rPr>
              <w:t>Public Health and air quality</w:t>
            </w:r>
            <w:r w:rsidR="001D4229">
              <w:rPr>
                <w:noProof/>
                <w:webHidden/>
              </w:rPr>
              <w:tab/>
            </w:r>
            <w:r w:rsidR="001D4229">
              <w:rPr>
                <w:noProof/>
                <w:webHidden/>
              </w:rPr>
              <w:fldChar w:fldCharType="begin"/>
            </w:r>
            <w:r w:rsidR="001D4229">
              <w:rPr>
                <w:noProof/>
                <w:webHidden/>
              </w:rPr>
              <w:instrText xml:space="preserve"> PAGEREF _Toc96511356 \h </w:instrText>
            </w:r>
            <w:r w:rsidR="001D4229">
              <w:rPr>
                <w:noProof/>
                <w:webHidden/>
              </w:rPr>
            </w:r>
            <w:r w:rsidR="001D4229">
              <w:rPr>
                <w:noProof/>
                <w:webHidden/>
              </w:rPr>
              <w:fldChar w:fldCharType="separate"/>
            </w:r>
            <w:r w:rsidR="001D4229">
              <w:rPr>
                <w:noProof/>
                <w:webHidden/>
              </w:rPr>
              <w:t>11</w:t>
            </w:r>
            <w:r w:rsidR="001D4229">
              <w:rPr>
                <w:noProof/>
                <w:webHidden/>
              </w:rPr>
              <w:fldChar w:fldCharType="end"/>
            </w:r>
          </w:hyperlink>
        </w:p>
        <w:p w14:paraId="074FA6B9" w14:textId="39683DA7" w:rsidR="001D4229" w:rsidRDefault="00350455">
          <w:pPr>
            <w:pStyle w:val="TOC1"/>
            <w:tabs>
              <w:tab w:val="left" w:pos="440"/>
              <w:tab w:val="right" w:leader="dot" w:pos="9016"/>
            </w:tabs>
            <w:rPr>
              <w:rFonts w:eastAsiaTheme="minorEastAsia"/>
              <w:noProof/>
              <w:lang w:eastAsia="en-GB"/>
            </w:rPr>
          </w:pPr>
          <w:hyperlink w:anchor="_Toc96511357" w:history="1">
            <w:r w:rsidR="001D4229" w:rsidRPr="00C61445">
              <w:rPr>
                <w:rStyle w:val="Hyperlink"/>
                <w:noProof/>
              </w:rPr>
              <w:t>7.</w:t>
            </w:r>
            <w:r w:rsidR="001D4229">
              <w:rPr>
                <w:rFonts w:eastAsiaTheme="minorEastAsia"/>
                <w:noProof/>
                <w:lang w:eastAsia="en-GB"/>
              </w:rPr>
              <w:tab/>
            </w:r>
            <w:r w:rsidR="001D4229" w:rsidRPr="00C61445">
              <w:rPr>
                <w:rStyle w:val="Hyperlink"/>
                <w:noProof/>
              </w:rPr>
              <w:t>Land-use planning and air quality</w:t>
            </w:r>
            <w:r w:rsidR="001D4229">
              <w:rPr>
                <w:noProof/>
                <w:webHidden/>
              </w:rPr>
              <w:tab/>
            </w:r>
            <w:r w:rsidR="001D4229">
              <w:rPr>
                <w:noProof/>
                <w:webHidden/>
              </w:rPr>
              <w:fldChar w:fldCharType="begin"/>
            </w:r>
            <w:r w:rsidR="001D4229">
              <w:rPr>
                <w:noProof/>
                <w:webHidden/>
              </w:rPr>
              <w:instrText xml:space="preserve"> PAGEREF _Toc96511357 \h </w:instrText>
            </w:r>
            <w:r w:rsidR="001D4229">
              <w:rPr>
                <w:noProof/>
                <w:webHidden/>
              </w:rPr>
            </w:r>
            <w:r w:rsidR="001D4229">
              <w:rPr>
                <w:noProof/>
                <w:webHidden/>
              </w:rPr>
              <w:fldChar w:fldCharType="separate"/>
            </w:r>
            <w:r w:rsidR="001D4229">
              <w:rPr>
                <w:noProof/>
                <w:webHidden/>
              </w:rPr>
              <w:t>12</w:t>
            </w:r>
            <w:r w:rsidR="001D4229">
              <w:rPr>
                <w:noProof/>
                <w:webHidden/>
              </w:rPr>
              <w:fldChar w:fldCharType="end"/>
            </w:r>
          </w:hyperlink>
        </w:p>
        <w:p w14:paraId="15BBCCD2" w14:textId="45829456" w:rsidR="001D4229" w:rsidRDefault="00350455">
          <w:pPr>
            <w:pStyle w:val="TOC1"/>
            <w:tabs>
              <w:tab w:val="left" w:pos="440"/>
              <w:tab w:val="right" w:leader="dot" w:pos="9016"/>
            </w:tabs>
            <w:rPr>
              <w:rFonts w:eastAsiaTheme="minorEastAsia"/>
              <w:noProof/>
              <w:lang w:eastAsia="en-GB"/>
            </w:rPr>
          </w:pPr>
          <w:hyperlink w:anchor="_Toc96511358" w:history="1">
            <w:r w:rsidR="001D4229" w:rsidRPr="00C61445">
              <w:rPr>
                <w:rStyle w:val="Hyperlink"/>
                <w:noProof/>
              </w:rPr>
              <w:t>8.</w:t>
            </w:r>
            <w:r w:rsidR="001D4229">
              <w:rPr>
                <w:rFonts w:eastAsiaTheme="minorEastAsia"/>
                <w:noProof/>
                <w:lang w:eastAsia="en-GB"/>
              </w:rPr>
              <w:tab/>
            </w:r>
            <w:r w:rsidR="001D4229" w:rsidRPr="00C61445">
              <w:rPr>
                <w:rStyle w:val="Hyperlink"/>
                <w:noProof/>
              </w:rPr>
              <w:t>Gear Change</w:t>
            </w:r>
            <w:r w:rsidR="001D4229">
              <w:rPr>
                <w:noProof/>
                <w:webHidden/>
              </w:rPr>
              <w:tab/>
            </w:r>
            <w:r w:rsidR="001D4229">
              <w:rPr>
                <w:noProof/>
                <w:webHidden/>
              </w:rPr>
              <w:fldChar w:fldCharType="begin"/>
            </w:r>
            <w:r w:rsidR="001D4229">
              <w:rPr>
                <w:noProof/>
                <w:webHidden/>
              </w:rPr>
              <w:instrText xml:space="preserve"> PAGEREF _Toc96511358 \h </w:instrText>
            </w:r>
            <w:r w:rsidR="001D4229">
              <w:rPr>
                <w:noProof/>
                <w:webHidden/>
              </w:rPr>
            </w:r>
            <w:r w:rsidR="001D4229">
              <w:rPr>
                <w:noProof/>
                <w:webHidden/>
              </w:rPr>
              <w:fldChar w:fldCharType="separate"/>
            </w:r>
            <w:r w:rsidR="001D4229">
              <w:rPr>
                <w:noProof/>
                <w:webHidden/>
              </w:rPr>
              <w:t>12</w:t>
            </w:r>
            <w:r w:rsidR="001D4229">
              <w:rPr>
                <w:noProof/>
                <w:webHidden/>
              </w:rPr>
              <w:fldChar w:fldCharType="end"/>
            </w:r>
          </w:hyperlink>
        </w:p>
        <w:p w14:paraId="60AD54F1" w14:textId="1EA09204" w:rsidR="001D4229" w:rsidRDefault="00350455">
          <w:pPr>
            <w:pStyle w:val="TOC1"/>
            <w:tabs>
              <w:tab w:val="left" w:pos="440"/>
              <w:tab w:val="right" w:leader="dot" w:pos="9016"/>
            </w:tabs>
            <w:rPr>
              <w:rFonts w:eastAsiaTheme="minorEastAsia"/>
              <w:noProof/>
              <w:lang w:eastAsia="en-GB"/>
            </w:rPr>
          </w:pPr>
          <w:hyperlink w:anchor="_Toc96511359" w:history="1">
            <w:r w:rsidR="001D4229" w:rsidRPr="00C61445">
              <w:rPr>
                <w:rStyle w:val="Hyperlink"/>
                <w:noProof/>
              </w:rPr>
              <w:t>9.</w:t>
            </w:r>
            <w:r w:rsidR="001D4229">
              <w:rPr>
                <w:rFonts w:eastAsiaTheme="minorEastAsia"/>
                <w:noProof/>
                <w:lang w:eastAsia="en-GB"/>
              </w:rPr>
              <w:tab/>
            </w:r>
            <w:r w:rsidR="001D4229" w:rsidRPr="00C61445">
              <w:rPr>
                <w:rStyle w:val="Hyperlink"/>
                <w:noProof/>
              </w:rPr>
              <w:t>Strategic alignment</w:t>
            </w:r>
            <w:r w:rsidR="001D4229">
              <w:rPr>
                <w:noProof/>
                <w:webHidden/>
              </w:rPr>
              <w:tab/>
            </w:r>
            <w:r w:rsidR="001D4229">
              <w:rPr>
                <w:noProof/>
                <w:webHidden/>
              </w:rPr>
              <w:fldChar w:fldCharType="begin"/>
            </w:r>
            <w:r w:rsidR="001D4229">
              <w:rPr>
                <w:noProof/>
                <w:webHidden/>
              </w:rPr>
              <w:instrText xml:space="preserve"> PAGEREF _Toc96511359 \h </w:instrText>
            </w:r>
            <w:r w:rsidR="001D4229">
              <w:rPr>
                <w:noProof/>
                <w:webHidden/>
              </w:rPr>
            </w:r>
            <w:r w:rsidR="001D4229">
              <w:rPr>
                <w:noProof/>
                <w:webHidden/>
              </w:rPr>
              <w:fldChar w:fldCharType="separate"/>
            </w:r>
            <w:r w:rsidR="001D4229">
              <w:rPr>
                <w:noProof/>
                <w:webHidden/>
              </w:rPr>
              <w:t>12</w:t>
            </w:r>
            <w:r w:rsidR="001D4229">
              <w:rPr>
                <w:noProof/>
                <w:webHidden/>
              </w:rPr>
              <w:fldChar w:fldCharType="end"/>
            </w:r>
          </w:hyperlink>
        </w:p>
        <w:p w14:paraId="74A08923" w14:textId="071D276D" w:rsidR="001D4229" w:rsidRDefault="00350455">
          <w:pPr>
            <w:pStyle w:val="TOC2"/>
            <w:tabs>
              <w:tab w:val="right" w:leader="dot" w:pos="9016"/>
            </w:tabs>
            <w:rPr>
              <w:rFonts w:eastAsiaTheme="minorEastAsia"/>
              <w:noProof/>
              <w:lang w:eastAsia="en-GB"/>
            </w:rPr>
          </w:pPr>
          <w:hyperlink w:anchor="_Toc96511360" w:history="1">
            <w:r w:rsidR="001D4229" w:rsidRPr="00C61445">
              <w:rPr>
                <w:rStyle w:val="Hyperlink"/>
                <w:noProof/>
              </w:rPr>
              <w:t>West Sussex Transport Plan review</w:t>
            </w:r>
            <w:r w:rsidR="001D4229">
              <w:rPr>
                <w:noProof/>
                <w:webHidden/>
              </w:rPr>
              <w:tab/>
            </w:r>
            <w:r w:rsidR="001D4229">
              <w:rPr>
                <w:noProof/>
                <w:webHidden/>
              </w:rPr>
              <w:fldChar w:fldCharType="begin"/>
            </w:r>
            <w:r w:rsidR="001D4229">
              <w:rPr>
                <w:noProof/>
                <w:webHidden/>
              </w:rPr>
              <w:instrText xml:space="preserve"> PAGEREF _Toc96511360 \h </w:instrText>
            </w:r>
            <w:r w:rsidR="001D4229">
              <w:rPr>
                <w:noProof/>
                <w:webHidden/>
              </w:rPr>
            </w:r>
            <w:r w:rsidR="001D4229">
              <w:rPr>
                <w:noProof/>
                <w:webHidden/>
              </w:rPr>
              <w:fldChar w:fldCharType="separate"/>
            </w:r>
            <w:r w:rsidR="001D4229">
              <w:rPr>
                <w:noProof/>
                <w:webHidden/>
              </w:rPr>
              <w:t>12</w:t>
            </w:r>
            <w:r w:rsidR="001D4229">
              <w:rPr>
                <w:noProof/>
                <w:webHidden/>
              </w:rPr>
              <w:fldChar w:fldCharType="end"/>
            </w:r>
          </w:hyperlink>
        </w:p>
        <w:p w14:paraId="4DB9F54E" w14:textId="13DB98E2" w:rsidR="001D4229" w:rsidRDefault="00350455">
          <w:pPr>
            <w:pStyle w:val="TOC2"/>
            <w:tabs>
              <w:tab w:val="right" w:leader="dot" w:pos="9016"/>
            </w:tabs>
            <w:rPr>
              <w:rFonts w:eastAsiaTheme="minorEastAsia"/>
              <w:noProof/>
              <w:lang w:eastAsia="en-GB"/>
            </w:rPr>
          </w:pPr>
          <w:hyperlink w:anchor="_Toc96511361" w:history="1">
            <w:r w:rsidR="001D4229" w:rsidRPr="00C61445">
              <w:rPr>
                <w:rStyle w:val="Hyperlink"/>
                <w:noProof/>
              </w:rPr>
              <w:t>Chichester Car Park Strategy (2010 to 2020)</w:t>
            </w:r>
            <w:r w:rsidR="001D4229">
              <w:rPr>
                <w:noProof/>
                <w:webHidden/>
              </w:rPr>
              <w:tab/>
            </w:r>
            <w:r w:rsidR="001D4229">
              <w:rPr>
                <w:noProof/>
                <w:webHidden/>
              </w:rPr>
              <w:fldChar w:fldCharType="begin"/>
            </w:r>
            <w:r w:rsidR="001D4229">
              <w:rPr>
                <w:noProof/>
                <w:webHidden/>
              </w:rPr>
              <w:instrText xml:space="preserve"> PAGEREF _Toc96511361 \h </w:instrText>
            </w:r>
            <w:r w:rsidR="001D4229">
              <w:rPr>
                <w:noProof/>
                <w:webHidden/>
              </w:rPr>
            </w:r>
            <w:r w:rsidR="001D4229">
              <w:rPr>
                <w:noProof/>
                <w:webHidden/>
              </w:rPr>
              <w:fldChar w:fldCharType="separate"/>
            </w:r>
            <w:r w:rsidR="001D4229">
              <w:rPr>
                <w:noProof/>
                <w:webHidden/>
              </w:rPr>
              <w:t>12</w:t>
            </w:r>
            <w:r w:rsidR="001D4229">
              <w:rPr>
                <w:noProof/>
                <w:webHidden/>
              </w:rPr>
              <w:fldChar w:fldCharType="end"/>
            </w:r>
          </w:hyperlink>
        </w:p>
        <w:p w14:paraId="72049942" w14:textId="53868930" w:rsidR="001D4229" w:rsidRDefault="00350455">
          <w:pPr>
            <w:pStyle w:val="TOC2"/>
            <w:tabs>
              <w:tab w:val="right" w:leader="dot" w:pos="9016"/>
            </w:tabs>
            <w:rPr>
              <w:rFonts w:eastAsiaTheme="minorEastAsia"/>
              <w:noProof/>
              <w:lang w:eastAsia="en-GB"/>
            </w:rPr>
          </w:pPr>
          <w:hyperlink w:anchor="_Toc96511362" w:history="1">
            <w:r w:rsidR="001D4229" w:rsidRPr="00C61445">
              <w:rPr>
                <w:rStyle w:val="Hyperlink"/>
                <w:noProof/>
              </w:rPr>
              <w:t>Sussex-air</w:t>
            </w:r>
            <w:r w:rsidR="001D4229">
              <w:rPr>
                <w:noProof/>
                <w:webHidden/>
              </w:rPr>
              <w:tab/>
            </w:r>
            <w:r w:rsidR="001D4229">
              <w:rPr>
                <w:noProof/>
                <w:webHidden/>
              </w:rPr>
              <w:fldChar w:fldCharType="begin"/>
            </w:r>
            <w:r w:rsidR="001D4229">
              <w:rPr>
                <w:noProof/>
                <w:webHidden/>
              </w:rPr>
              <w:instrText xml:space="preserve"> PAGEREF _Toc96511362 \h </w:instrText>
            </w:r>
            <w:r w:rsidR="001D4229">
              <w:rPr>
                <w:noProof/>
                <w:webHidden/>
              </w:rPr>
            </w:r>
            <w:r w:rsidR="001D4229">
              <w:rPr>
                <w:noProof/>
                <w:webHidden/>
              </w:rPr>
              <w:fldChar w:fldCharType="separate"/>
            </w:r>
            <w:r w:rsidR="001D4229">
              <w:rPr>
                <w:noProof/>
                <w:webHidden/>
              </w:rPr>
              <w:t>13</w:t>
            </w:r>
            <w:r w:rsidR="001D4229">
              <w:rPr>
                <w:noProof/>
                <w:webHidden/>
              </w:rPr>
              <w:fldChar w:fldCharType="end"/>
            </w:r>
          </w:hyperlink>
        </w:p>
        <w:p w14:paraId="357876B5" w14:textId="104307B8" w:rsidR="001D4229" w:rsidRDefault="00350455">
          <w:pPr>
            <w:pStyle w:val="TOC2"/>
            <w:tabs>
              <w:tab w:val="right" w:leader="dot" w:pos="9016"/>
            </w:tabs>
            <w:rPr>
              <w:rFonts w:eastAsiaTheme="minorEastAsia"/>
              <w:noProof/>
              <w:lang w:eastAsia="en-GB"/>
            </w:rPr>
          </w:pPr>
          <w:hyperlink w:anchor="_Toc96511363" w:history="1">
            <w:r w:rsidR="001D4229" w:rsidRPr="00C61445">
              <w:rPr>
                <w:rStyle w:val="Hyperlink"/>
                <w:noProof/>
              </w:rPr>
              <w:t>CDC Climate Change Action Plan</w:t>
            </w:r>
            <w:r w:rsidR="001D4229">
              <w:rPr>
                <w:noProof/>
                <w:webHidden/>
              </w:rPr>
              <w:tab/>
            </w:r>
            <w:r w:rsidR="001D4229">
              <w:rPr>
                <w:noProof/>
                <w:webHidden/>
              </w:rPr>
              <w:fldChar w:fldCharType="begin"/>
            </w:r>
            <w:r w:rsidR="001D4229">
              <w:rPr>
                <w:noProof/>
                <w:webHidden/>
              </w:rPr>
              <w:instrText xml:space="preserve"> PAGEREF _Toc96511363 \h </w:instrText>
            </w:r>
            <w:r w:rsidR="001D4229">
              <w:rPr>
                <w:noProof/>
                <w:webHidden/>
              </w:rPr>
            </w:r>
            <w:r w:rsidR="001D4229">
              <w:rPr>
                <w:noProof/>
                <w:webHidden/>
              </w:rPr>
              <w:fldChar w:fldCharType="separate"/>
            </w:r>
            <w:r w:rsidR="001D4229">
              <w:rPr>
                <w:noProof/>
                <w:webHidden/>
              </w:rPr>
              <w:t>13</w:t>
            </w:r>
            <w:r w:rsidR="001D4229">
              <w:rPr>
                <w:noProof/>
                <w:webHidden/>
              </w:rPr>
              <w:fldChar w:fldCharType="end"/>
            </w:r>
          </w:hyperlink>
        </w:p>
        <w:p w14:paraId="696ECFCC" w14:textId="37CEDBF2" w:rsidR="001D4229" w:rsidRDefault="00350455">
          <w:pPr>
            <w:pStyle w:val="TOC1"/>
            <w:tabs>
              <w:tab w:val="left" w:pos="660"/>
              <w:tab w:val="right" w:leader="dot" w:pos="9016"/>
            </w:tabs>
            <w:rPr>
              <w:rFonts w:eastAsiaTheme="minorEastAsia"/>
              <w:noProof/>
              <w:lang w:eastAsia="en-GB"/>
            </w:rPr>
          </w:pPr>
          <w:hyperlink w:anchor="_Toc96511364" w:history="1">
            <w:r w:rsidR="001D4229" w:rsidRPr="00C61445">
              <w:rPr>
                <w:rStyle w:val="Hyperlink"/>
                <w:noProof/>
              </w:rPr>
              <w:t>10.</w:t>
            </w:r>
            <w:r w:rsidR="001D4229">
              <w:rPr>
                <w:rFonts w:eastAsiaTheme="minorEastAsia"/>
                <w:noProof/>
                <w:lang w:eastAsia="en-GB"/>
              </w:rPr>
              <w:tab/>
            </w:r>
            <w:r w:rsidR="001D4229" w:rsidRPr="00C61445">
              <w:rPr>
                <w:rStyle w:val="Hyperlink"/>
                <w:noProof/>
              </w:rPr>
              <w:t>Delivery under the previous AQAP</w:t>
            </w:r>
            <w:r w:rsidR="001D4229">
              <w:rPr>
                <w:noProof/>
                <w:webHidden/>
              </w:rPr>
              <w:tab/>
            </w:r>
            <w:r w:rsidR="001D4229">
              <w:rPr>
                <w:noProof/>
                <w:webHidden/>
              </w:rPr>
              <w:fldChar w:fldCharType="begin"/>
            </w:r>
            <w:r w:rsidR="001D4229">
              <w:rPr>
                <w:noProof/>
                <w:webHidden/>
              </w:rPr>
              <w:instrText xml:space="preserve"> PAGEREF _Toc96511364 \h </w:instrText>
            </w:r>
            <w:r w:rsidR="001D4229">
              <w:rPr>
                <w:noProof/>
                <w:webHidden/>
              </w:rPr>
            </w:r>
            <w:r w:rsidR="001D4229">
              <w:rPr>
                <w:noProof/>
                <w:webHidden/>
              </w:rPr>
              <w:fldChar w:fldCharType="separate"/>
            </w:r>
            <w:r w:rsidR="001D4229">
              <w:rPr>
                <w:noProof/>
                <w:webHidden/>
              </w:rPr>
              <w:t>14</w:t>
            </w:r>
            <w:r w:rsidR="001D4229">
              <w:rPr>
                <w:noProof/>
                <w:webHidden/>
              </w:rPr>
              <w:fldChar w:fldCharType="end"/>
            </w:r>
          </w:hyperlink>
        </w:p>
        <w:p w14:paraId="5B26C157" w14:textId="475BEEA4" w:rsidR="001D4229" w:rsidRDefault="00350455">
          <w:pPr>
            <w:pStyle w:val="TOC2"/>
            <w:tabs>
              <w:tab w:val="right" w:leader="dot" w:pos="9016"/>
            </w:tabs>
            <w:rPr>
              <w:rFonts w:eastAsiaTheme="minorEastAsia"/>
              <w:noProof/>
              <w:lang w:eastAsia="en-GB"/>
            </w:rPr>
          </w:pPr>
          <w:hyperlink w:anchor="_Toc96511365" w:history="1">
            <w:r w:rsidR="001D4229" w:rsidRPr="00C61445">
              <w:rPr>
                <w:rStyle w:val="Hyperlink"/>
                <w:noProof/>
              </w:rPr>
              <w:t>Priority 1: Measure, model and report on air quality</w:t>
            </w:r>
            <w:r w:rsidR="001D4229">
              <w:rPr>
                <w:noProof/>
                <w:webHidden/>
              </w:rPr>
              <w:tab/>
            </w:r>
            <w:r w:rsidR="001D4229">
              <w:rPr>
                <w:noProof/>
                <w:webHidden/>
              </w:rPr>
              <w:fldChar w:fldCharType="begin"/>
            </w:r>
            <w:r w:rsidR="001D4229">
              <w:rPr>
                <w:noProof/>
                <w:webHidden/>
              </w:rPr>
              <w:instrText xml:space="preserve"> PAGEREF _Toc96511365 \h </w:instrText>
            </w:r>
            <w:r w:rsidR="001D4229">
              <w:rPr>
                <w:noProof/>
                <w:webHidden/>
              </w:rPr>
            </w:r>
            <w:r w:rsidR="001D4229">
              <w:rPr>
                <w:noProof/>
                <w:webHidden/>
              </w:rPr>
              <w:fldChar w:fldCharType="separate"/>
            </w:r>
            <w:r w:rsidR="001D4229">
              <w:rPr>
                <w:noProof/>
                <w:webHidden/>
              </w:rPr>
              <w:t>14</w:t>
            </w:r>
            <w:r w:rsidR="001D4229">
              <w:rPr>
                <w:noProof/>
                <w:webHidden/>
              </w:rPr>
              <w:fldChar w:fldCharType="end"/>
            </w:r>
          </w:hyperlink>
        </w:p>
        <w:p w14:paraId="78D40696" w14:textId="69E95399" w:rsidR="001D4229" w:rsidRDefault="00350455">
          <w:pPr>
            <w:pStyle w:val="TOC2"/>
            <w:tabs>
              <w:tab w:val="right" w:leader="dot" w:pos="9016"/>
            </w:tabs>
            <w:rPr>
              <w:rFonts w:eastAsiaTheme="minorEastAsia"/>
              <w:noProof/>
              <w:lang w:eastAsia="en-GB"/>
            </w:rPr>
          </w:pPr>
          <w:hyperlink w:anchor="_Toc96511366" w:history="1">
            <w:r w:rsidR="001D4229" w:rsidRPr="00C61445">
              <w:rPr>
                <w:rStyle w:val="Hyperlink"/>
                <w:noProof/>
              </w:rPr>
              <w:t>Priority 2: Strengthen partnerships, seek funds, pool resources and exploit synergies</w:t>
            </w:r>
            <w:r w:rsidR="001D4229">
              <w:rPr>
                <w:noProof/>
                <w:webHidden/>
              </w:rPr>
              <w:tab/>
            </w:r>
            <w:r w:rsidR="001D4229">
              <w:rPr>
                <w:noProof/>
                <w:webHidden/>
              </w:rPr>
              <w:fldChar w:fldCharType="begin"/>
            </w:r>
            <w:r w:rsidR="001D4229">
              <w:rPr>
                <w:noProof/>
                <w:webHidden/>
              </w:rPr>
              <w:instrText xml:space="preserve"> PAGEREF _Toc96511366 \h </w:instrText>
            </w:r>
            <w:r w:rsidR="001D4229">
              <w:rPr>
                <w:noProof/>
                <w:webHidden/>
              </w:rPr>
            </w:r>
            <w:r w:rsidR="001D4229">
              <w:rPr>
                <w:noProof/>
                <w:webHidden/>
              </w:rPr>
              <w:fldChar w:fldCharType="separate"/>
            </w:r>
            <w:r w:rsidR="001D4229">
              <w:rPr>
                <w:noProof/>
                <w:webHidden/>
              </w:rPr>
              <w:t>14</w:t>
            </w:r>
            <w:r w:rsidR="001D4229">
              <w:rPr>
                <w:noProof/>
                <w:webHidden/>
              </w:rPr>
              <w:fldChar w:fldCharType="end"/>
            </w:r>
          </w:hyperlink>
        </w:p>
        <w:p w14:paraId="790D9C7A" w14:textId="189A3F33" w:rsidR="001D4229" w:rsidRDefault="00350455">
          <w:pPr>
            <w:pStyle w:val="TOC2"/>
            <w:tabs>
              <w:tab w:val="right" w:leader="dot" w:pos="9016"/>
            </w:tabs>
            <w:rPr>
              <w:rFonts w:eastAsiaTheme="minorEastAsia"/>
              <w:noProof/>
              <w:lang w:eastAsia="en-GB"/>
            </w:rPr>
          </w:pPr>
          <w:hyperlink w:anchor="_Toc96511367" w:history="1">
            <w:r w:rsidR="001D4229" w:rsidRPr="00C61445">
              <w:rPr>
                <w:rStyle w:val="Hyperlink"/>
                <w:noProof/>
              </w:rPr>
              <w:t>Priority 3: Encourage low emission technology</w:t>
            </w:r>
            <w:r w:rsidR="001D4229">
              <w:rPr>
                <w:noProof/>
                <w:webHidden/>
              </w:rPr>
              <w:tab/>
            </w:r>
            <w:r w:rsidR="001D4229">
              <w:rPr>
                <w:noProof/>
                <w:webHidden/>
              </w:rPr>
              <w:fldChar w:fldCharType="begin"/>
            </w:r>
            <w:r w:rsidR="001D4229">
              <w:rPr>
                <w:noProof/>
                <w:webHidden/>
              </w:rPr>
              <w:instrText xml:space="preserve"> PAGEREF _Toc96511367 \h </w:instrText>
            </w:r>
            <w:r w:rsidR="001D4229">
              <w:rPr>
                <w:noProof/>
                <w:webHidden/>
              </w:rPr>
            </w:r>
            <w:r w:rsidR="001D4229">
              <w:rPr>
                <w:noProof/>
                <w:webHidden/>
              </w:rPr>
              <w:fldChar w:fldCharType="separate"/>
            </w:r>
            <w:r w:rsidR="001D4229">
              <w:rPr>
                <w:noProof/>
                <w:webHidden/>
              </w:rPr>
              <w:t>14</w:t>
            </w:r>
            <w:r w:rsidR="001D4229">
              <w:rPr>
                <w:noProof/>
                <w:webHidden/>
              </w:rPr>
              <w:fldChar w:fldCharType="end"/>
            </w:r>
          </w:hyperlink>
        </w:p>
        <w:p w14:paraId="1A38FB6B" w14:textId="45081F7B" w:rsidR="001D4229" w:rsidRDefault="00350455">
          <w:pPr>
            <w:pStyle w:val="TOC2"/>
            <w:tabs>
              <w:tab w:val="right" w:leader="dot" w:pos="9016"/>
            </w:tabs>
            <w:rPr>
              <w:rFonts w:eastAsiaTheme="minorEastAsia"/>
              <w:noProof/>
              <w:lang w:eastAsia="en-GB"/>
            </w:rPr>
          </w:pPr>
          <w:hyperlink w:anchor="_Toc96511368" w:history="1">
            <w:r w:rsidR="001D4229" w:rsidRPr="00C61445">
              <w:rPr>
                <w:rStyle w:val="Hyperlink"/>
                <w:noProof/>
              </w:rPr>
              <w:t>Priority 4: Encourage and Foster behavioural change/modal shift</w:t>
            </w:r>
            <w:r w:rsidR="001D4229">
              <w:rPr>
                <w:noProof/>
                <w:webHidden/>
              </w:rPr>
              <w:tab/>
            </w:r>
            <w:r w:rsidR="001D4229">
              <w:rPr>
                <w:noProof/>
                <w:webHidden/>
              </w:rPr>
              <w:fldChar w:fldCharType="begin"/>
            </w:r>
            <w:r w:rsidR="001D4229">
              <w:rPr>
                <w:noProof/>
                <w:webHidden/>
              </w:rPr>
              <w:instrText xml:space="preserve"> PAGEREF _Toc96511368 \h </w:instrText>
            </w:r>
            <w:r w:rsidR="001D4229">
              <w:rPr>
                <w:noProof/>
                <w:webHidden/>
              </w:rPr>
            </w:r>
            <w:r w:rsidR="001D4229">
              <w:rPr>
                <w:noProof/>
                <w:webHidden/>
              </w:rPr>
              <w:fldChar w:fldCharType="separate"/>
            </w:r>
            <w:r w:rsidR="001D4229">
              <w:rPr>
                <w:noProof/>
                <w:webHidden/>
              </w:rPr>
              <w:t>15</w:t>
            </w:r>
            <w:r w:rsidR="001D4229">
              <w:rPr>
                <w:noProof/>
                <w:webHidden/>
              </w:rPr>
              <w:fldChar w:fldCharType="end"/>
            </w:r>
          </w:hyperlink>
        </w:p>
        <w:p w14:paraId="1711FE88" w14:textId="0913767C" w:rsidR="001D4229" w:rsidRDefault="00350455">
          <w:pPr>
            <w:pStyle w:val="TOC2"/>
            <w:tabs>
              <w:tab w:val="right" w:leader="dot" w:pos="9016"/>
            </w:tabs>
            <w:rPr>
              <w:rFonts w:eastAsiaTheme="minorEastAsia"/>
              <w:noProof/>
              <w:lang w:eastAsia="en-GB"/>
            </w:rPr>
          </w:pPr>
          <w:hyperlink w:anchor="_Toc96511369" w:history="1">
            <w:r w:rsidR="001D4229" w:rsidRPr="00C61445">
              <w:rPr>
                <w:rStyle w:val="Hyperlink"/>
                <w:noProof/>
              </w:rPr>
              <w:t>Priority 5: Be innovative, capitalise on opportunities and build on success</w:t>
            </w:r>
            <w:r w:rsidR="001D4229">
              <w:rPr>
                <w:noProof/>
                <w:webHidden/>
              </w:rPr>
              <w:tab/>
            </w:r>
            <w:r w:rsidR="001D4229">
              <w:rPr>
                <w:noProof/>
                <w:webHidden/>
              </w:rPr>
              <w:fldChar w:fldCharType="begin"/>
            </w:r>
            <w:r w:rsidR="001D4229">
              <w:rPr>
                <w:noProof/>
                <w:webHidden/>
              </w:rPr>
              <w:instrText xml:space="preserve"> PAGEREF _Toc96511369 \h </w:instrText>
            </w:r>
            <w:r w:rsidR="001D4229">
              <w:rPr>
                <w:noProof/>
                <w:webHidden/>
              </w:rPr>
            </w:r>
            <w:r w:rsidR="001D4229">
              <w:rPr>
                <w:noProof/>
                <w:webHidden/>
              </w:rPr>
              <w:fldChar w:fldCharType="separate"/>
            </w:r>
            <w:r w:rsidR="001D4229">
              <w:rPr>
                <w:noProof/>
                <w:webHidden/>
              </w:rPr>
              <w:t>15</w:t>
            </w:r>
            <w:r w:rsidR="001D4229">
              <w:rPr>
                <w:noProof/>
                <w:webHidden/>
              </w:rPr>
              <w:fldChar w:fldCharType="end"/>
            </w:r>
          </w:hyperlink>
        </w:p>
        <w:p w14:paraId="285E65E6" w14:textId="242BD5B7" w:rsidR="001D4229" w:rsidRDefault="00350455">
          <w:pPr>
            <w:pStyle w:val="TOC1"/>
            <w:tabs>
              <w:tab w:val="left" w:pos="660"/>
              <w:tab w:val="right" w:leader="dot" w:pos="9016"/>
            </w:tabs>
            <w:rPr>
              <w:rFonts w:eastAsiaTheme="minorEastAsia"/>
              <w:noProof/>
              <w:lang w:eastAsia="en-GB"/>
            </w:rPr>
          </w:pPr>
          <w:hyperlink w:anchor="_Toc96511370" w:history="1">
            <w:r w:rsidR="001D4229" w:rsidRPr="00C61445">
              <w:rPr>
                <w:rStyle w:val="Hyperlink"/>
                <w:noProof/>
              </w:rPr>
              <w:t>11.</w:t>
            </w:r>
            <w:r w:rsidR="001D4229">
              <w:rPr>
                <w:rFonts w:eastAsiaTheme="minorEastAsia"/>
                <w:noProof/>
                <w:lang w:eastAsia="en-GB"/>
              </w:rPr>
              <w:tab/>
            </w:r>
            <w:r w:rsidR="001D4229" w:rsidRPr="00C61445">
              <w:rPr>
                <w:rStyle w:val="Hyperlink"/>
                <w:noProof/>
              </w:rPr>
              <w:t>Chichester District Air Quality Management Areas</w:t>
            </w:r>
            <w:r w:rsidR="001D4229">
              <w:rPr>
                <w:noProof/>
                <w:webHidden/>
              </w:rPr>
              <w:tab/>
            </w:r>
            <w:r w:rsidR="001D4229">
              <w:rPr>
                <w:noProof/>
                <w:webHidden/>
              </w:rPr>
              <w:fldChar w:fldCharType="begin"/>
            </w:r>
            <w:r w:rsidR="001D4229">
              <w:rPr>
                <w:noProof/>
                <w:webHidden/>
              </w:rPr>
              <w:instrText xml:space="preserve"> PAGEREF _Toc96511370 \h </w:instrText>
            </w:r>
            <w:r w:rsidR="001D4229">
              <w:rPr>
                <w:noProof/>
                <w:webHidden/>
              </w:rPr>
            </w:r>
            <w:r w:rsidR="001D4229">
              <w:rPr>
                <w:noProof/>
                <w:webHidden/>
              </w:rPr>
              <w:fldChar w:fldCharType="separate"/>
            </w:r>
            <w:r w:rsidR="001D4229">
              <w:rPr>
                <w:noProof/>
                <w:webHidden/>
              </w:rPr>
              <w:t>16</w:t>
            </w:r>
            <w:r w:rsidR="001D4229">
              <w:rPr>
                <w:noProof/>
                <w:webHidden/>
              </w:rPr>
              <w:fldChar w:fldCharType="end"/>
            </w:r>
          </w:hyperlink>
        </w:p>
        <w:p w14:paraId="4877EEC3" w14:textId="42352F6F" w:rsidR="001D4229" w:rsidRDefault="00350455">
          <w:pPr>
            <w:pStyle w:val="TOC2"/>
            <w:tabs>
              <w:tab w:val="right" w:leader="dot" w:pos="9016"/>
            </w:tabs>
            <w:rPr>
              <w:rFonts w:eastAsiaTheme="minorEastAsia"/>
              <w:noProof/>
              <w:lang w:eastAsia="en-GB"/>
            </w:rPr>
          </w:pPr>
          <w:hyperlink w:anchor="_Toc96511371" w:history="1">
            <w:r w:rsidR="001D4229" w:rsidRPr="00C61445">
              <w:rPr>
                <w:rStyle w:val="Hyperlink"/>
                <w:noProof/>
              </w:rPr>
              <w:t>Description of Orchard Street, Chichester AQMA</w:t>
            </w:r>
            <w:r w:rsidR="001D4229">
              <w:rPr>
                <w:noProof/>
                <w:webHidden/>
              </w:rPr>
              <w:tab/>
            </w:r>
            <w:r w:rsidR="001D4229">
              <w:rPr>
                <w:noProof/>
                <w:webHidden/>
              </w:rPr>
              <w:fldChar w:fldCharType="begin"/>
            </w:r>
            <w:r w:rsidR="001D4229">
              <w:rPr>
                <w:noProof/>
                <w:webHidden/>
              </w:rPr>
              <w:instrText xml:space="preserve"> PAGEREF _Toc96511371 \h </w:instrText>
            </w:r>
            <w:r w:rsidR="001D4229">
              <w:rPr>
                <w:noProof/>
                <w:webHidden/>
              </w:rPr>
            </w:r>
            <w:r w:rsidR="001D4229">
              <w:rPr>
                <w:noProof/>
                <w:webHidden/>
              </w:rPr>
              <w:fldChar w:fldCharType="separate"/>
            </w:r>
            <w:r w:rsidR="001D4229">
              <w:rPr>
                <w:noProof/>
                <w:webHidden/>
              </w:rPr>
              <w:t>16</w:t>
            </w:r>
            <w:r w:rsidR="001D4229">
              <w:rPr>
                <w:noProof/>
                <w:webHidden/>
              </w:rPr>
              <w:fldChar w:fldCharType="end"/>
            </w:r>
          </w:hyperlink>
        </w:p>
        <w:p w14:paraId="3C0F903F" w14:textId="2D72D4EE" w:rsidR="001D4229" w:rsidRDefault="00350455">
          <w:pPr>
            <w:pStyle w:val="TOC2"/>
            <w:tabs>
              <w:tab w:val="right" w:leader="dot" w:pos="9016"/>
            </w:tabs>
            <w:rPr>
              <w:rFonts w:eastAsiaTheme="minorEastAsia"/>
              <w:noProof/>
              <w:lang w:eastAsia="en-GB"/>
            </w:rPr>
          </w:pPr>
          <w:hyperlink w:anchor="_Toc96511372" w:history="1">
            <w:r w:rsidR="001D4229" w:rsidRPr="00C61445">
              <w:rPr>
                <w:rStyle w:val="Hyperlink"/>
                <w:noProof/>
              </w:rPr>
              <w:t>Description of St Pancras, Chichester AQMA</w:t>
            </w:r>
            <w:r w:rsidR="001D4229">
              <w:rPr>
                <w:noProof/>
                <w:webHidden/>
              </w:rPr>
              <w:tab/>
            </w:r>
            <w:r w:rsidR="001D4229">
              <w:rPr>
                <w:noProof/>
                <w:webHidden/>
              </w:rPr>
              <w:fldChar w:fldCharType="begin"/>
            </w:r>
            <w:r w:rsidR="001D4229">
              <w:rPr>
                <w:noProof/>
                <w:webHidden/>
              </w:rPr>
              <w:instrText xml:space="preserve"> PAGEREF _Toc96511372 \h </w:instrText>
            </w:r>
            <w:r w:rsidR="001D4229">
              <w:rPr>
                <w:noProof/>
                <w:webHidden/>
              </w:rPr>
            </w:r>
            <w:r w:rsidR="001D4229">
              <w:rPr>
                <w:noProof/>
                <w:webHidden/>
              </w:rPr>
              <w:fldChar w:fldCharType="separate"/>
            </w:r>
            <w:r w:rsidR="001D4229">
              <w:rPr>
                <w:noProof/>
                <w:webHidden/>
              </w:rPr>
              <w:t>17</w:t>
            </w:r>
            <w:r w:rsidR="001D4229">
              <w:rPr>
                <w:noProof/>
                <w:webHidden/>
              </w:rPr>
              <w:fldChar w:fldCharType="end"/>
            </w:r>
          </w:hyperlink>
        </w:p>
        <w:p w14:paraId="3C1D9FD2" w14:textId="3D8662F4" w:rsidR="001D4229" w:rsidRDefault="00350455">
          <w:pPr>
            <w:pStyle w:val="TOC2"/>
            <w:tabs>
              <w:tab w:val="right" w:leader="dot" w:pos="9016"/>
            </w:tabs>
            <w:rPr>
              <w:rFonts w:eastAsiaTheme="minorEastAsia"/>
              <w:noProof/>
              <w:lang w:eastAsia="en-GB"/>
            </w:rPr>
          </w:pPr>
          <w:hyperlink w:anchor="_Toc96511373" w:history="1">
            <w:r w:rsidR="001D4229" w:rsidRPr="00C61445">
              <w:rPr>
                <w:rStyle w:val="Hyperlink"/>
                <w:noProof/>
              </w:rPr>
              <w:t>Description of Stockbridge A27 Roundabout AQMA</w:t>
            </w:r>
            <w:r w:rsidR="001D4229">
              <w:rPr>
                <w:noProof/>
                <w:webHidden/>
              </w:rPr>
              <w:tab/>
            </w:r>
            <w:r w:rsidR="001D4229">
              <w:rPr>
                <w:noProof/>
                <w:webHidden/>
              </w:rPr>
              <w:fldChar w:fldCharType="begin"/>
            </w:r>
            <w:r w:rsidR="001D4229">
              <w:rPr>
                <w:noProof/>
                <w:webHidden/>
              </w:rPr>
              <w:instrText xml:space="preserve"> PAGEREF _Toc96511373 \h </w:instrText>
            </w:r>
            <w:r w:rsidR="001D4229">
              <w:rPr>
                <w:noProof/>
                <w:webHidden/>
              </w:rPr>
            </w:r>
            <w:r w:rsidR="001D4229">
              <w:rPr>
                <w:noProof/>
                <w:webHidden/>
              </w:rPr>
              <w:fldChar w:fldCharType="separate"/>
            </w:r>
            <w:r w:rsidR="001D4229">
              <w:rPr>
                <w:noProof/>
                <w:webHidden/>
              </w:rPr>
              <w:t>18</w:t>
            </w:r>
            <w:r w:rsidR="001D4229">
              <w:rPr>
                <w:noProof/>
                <w:webHidden/>
              </w:rPr>
              <w:fldChar w:fldCharType="end"/>
            </w:r>
          </w:hyperlink>
        </w:p>
        <w:p w14:paraId="57891A72" w14:textId="558F4BFA" w:rsidR="001D4229" w:rsidRDefault="00350455">
          <w:pPr>
            <w:pStyle w:val="TOC2"/>
            <w:tabs>
              <w:tab w:val="right" w:leader="dot" w:pos="9016"/>
            </w:tabs>
            <w:rPr>
              <w:rFonts w:eastAsiaTheme="minorEastAsia"/>
              <w:noProof/>
              <w:lang w:eastAsia="en-GB"/>
            </w:rPr>
          </w:pPr>
          <w:hyperlink w:anchor="_Toc96511374" w:history="1">
            <w:r w:rsidR="001D4229" w:rsidRPr="00C61445">
              <w:rPr>
                <w:rStyle w:val="Hyperlink"/>
                <w:noProof/>
              </w:rPr>
              <w:t>Description of Rumbold’s Hill, Midhurst AQMA</w:t>
            </w:r>
            <w:r w:rsidR="001D4229">
              <w:rPr>
                <w:noProof/>
                <w:webHidden/>
              </w:rPr>
              <w:tab/>
            </w:r>
            <w:r w:rsidR="001D4229">
              <w:rPr>
                <w:noProof/>
                <w:webHidden/>
              </w:rPr>
              <w:fldChar w:fldCharType="begin"/>
            </w:r>
            <w:r w:rsidR="001D4229">
              <w:rPr>
                <w:noProof/>
                <w:webHidden/>
              </w:rPr>
              <w:instrText xml:space="preserve"> PAGEREF _Toc96511374 \h </w:instrText>
            </w:r>
            <w:r w:rsidR="001D4229">
              <w:rPr>
                <w:noProof/>
                <w:webHidden/>
              </w:rPr>
            </w:r>
            <w:r w:rsidR="001D4229">
              <w:rPr>
                <w:noProof/>
                <w:webHidden/>
              </w:rPr>
              <w:fldChar w:fldCharType="separate"/>
            </w:r>
            <w:r w:rsidR="001D4229">
              <w:rPr>
                <w:noProof/>
                <w:webHidden/>
              </w:rPr>
              <w:t>18</w:t>
            </w:r>
            <w:r w:rsidR="001D4229">
              <w:rPr>
                <w:noProof/>
                <w:webHidden/>
              </w:rPr>
              <w:fldChar w:fldCharType="end"/>
            </w:r>
          </w:hyperlink>
        </w:p>
        <w:p w14:paraId="41C87B7A" w14:textId="642FFD1C" w:rsidR="001D4229" w:rsidRDefault="00350455">
          <w:pPr>
            <w:pStyle w:val="TOC2"/>
            <w:tabs>
              <w:tab w:val="right" w:leader="dot" w:pos="9016"/>
            </w:tabs>
            <w:rPr>
              <w:rFonts w:eastAsiaTheme="minorEastAsia"/>
              <w:noProof/>
              <w:lang w:eastAsia="en-GB"/>
            </w:rPr>
          </w:pPr>
          <w:hyperlink w:anchor="_Toc96511375" w:history="1">
            <w:r w:rsidR="001D4229" w:rsidRPr="00C61445">
              <w:rPr>
                <w:rStyle w:val="Hyperlink"/>
                <w:noProof/>
              </w:rPr>
              <w:t>Relevant exposure locations</w:t>
            </w:r>
            <w:r w:rsidR="001D4229">
              <w:rPr>
                <w:noProof/>
                <w:webHidden/>
              </w:rPr>
              <w:tab/>
            </w:r>
            <w:r w:rsidR="001D4229">
              <w:rPr>
                <w:noProof/>
                <w:webHidden/>
              </w:rPr>
              <w:fldChar w:fldCharType="begin"/>
            </w:r>
            <w:r w:rsidR="001D4229">
              <w:rPr>
                <w:noProof/>
                <w:webHidden/>
              </w:rPr>
              <w:instrText xml:space="preserve"> PAGEREF _Toc96511375 \h </w:instrText>
            </w:r>
            <w:r w:rsidR="001D4229">
              <w:rPr>
                <w:noProof/>
                <w:webHidden/>
              </w:rPr>
            </w:r>
            <w:r w:rsidR="001D4229">
              <w:rPr>
                <w:noProof/>
                <w:webHidden/>
              </w:rPr>
              <w:fldChar w:fldCharType="separate"/>
            </w:r>
            <w:r w:rsidR="001D4229">
              <w:rPr>
                <w:noProof/>
                <w:webHidden/>
              </w:rPr>
              <w:t>19</w:t>
            </w:r>
            <w:r w:rsidR="001D4229">
              <w:rPr>
                <w:noProof/>
                <w:webHidden/>
              </w:rPr>
              <w:fldChar w:fldCharType="end"/>
            </w:r>
          </w:hyperlink>
        </w:p>
        <w:p w14:paraId="4335DF05" w14:textId="19B9F1D6" w:rsidR="001D4229" w:rsidRDefault="00350455">
          <w:pPr>
            <w:pStyle w:val="TOC1"/>
            <w:tabs>
              <w:tab w:val="left" w:pos="660"/>
              <w:tab w:val="right" w:leader="dot" w:pos="9016"/>
            </w:tabs>
            <w:rPr>
              <w:rFonts w:eastAsiaTheme="minorEastAsia"/>
              <w:noProof/>
              <w:lang w:eastAsia="en-GB"/>
            </w:rPr>
          </w:pPr>
          <w:hyperlink w:anchor="_Toc96511376" w:history="1">
            <w:r w:rsidR="001D4229" w:rsidRPr="00C61445">
              <w:rPr>
                <w:rStyle w:val="Hyperlink"/>
                <w:noProof/>
              </w:rPr>
              <w:t>12.</w:t>
            </w:r>
            <w:r w:rsidR="001D4229">
              <w:rPr>
                <w:rFonts w:eastAsiaTheme="minorEastAsia"/>
                <w:noProof/>
                <w:lang w:eastAsia="en-GB"/>
              </w:rPr>
              <w:tab/>
            </w:r>
            <w:r w:rsidR="001D4229" w:rsidRPr="00C61445">
              <w:rPr>
                <w:rStyle w:val="Hyperlink"/>
                <w:noProof/>
              </w:rPr>
              <w:t>Summary of Air Quality Monitoring in Chichester District:</w:t>
            </w:r>
            <w:r w:rsidR="001D4229">
              <w:rPr>
                <w:noProof/>
                <w:webHidden/>
              </w:rPr>
              <w:tab/>
            </w:r>
            <w:r w:rsidR="001D4229">
              <w:rPr>
                <w:noProof/>
                <w:webHidden/>
              </w:rPr>
              <w:fldChar w:fldCharType="begin"/>
            </w:r>
            <w:r w:rsidR="001D4229">
              <w:rPr>
                <w:noProof/>
                <w:webHidden/>
              </w:rPr>
              <w:instrText xml:space="preserve"> PAGEREF _Toc96511376 \h </w:instrText>
            </w:r>
            <w:r w:rsidR="001D4229">
              <w:rPr>
                <w:noProof/>
                <w:webHidden/>
              </w:rPr>
            </w:r>
            <w:r w:rsidR="001D4229">
              <w:rPr>
                <w:noProof/>
                <w:webHidden/>
              </w:rPr>
              <w:fldChar w:fldCharType="separate"/>
            </w:r>
            <w:r w:rsidR="001D4229">
              <w:rPr>
                <w:noProof/>
                <w:webHidden/>
              </w:rPr>
              <w:t>19</w:t>
            </w:r>
            <w:r w:rsidR="001D4229">
              <w:rPr>
                <w:noProof/>
                <w:webHidden/>
              </w:rPr>
              <w:fldChar w:fldCharType="end"/>
            </w:r>
          </w:hyperlink>
        </w:p>
        <w:p w14:paraId="04B9ABA5" w14:textId="6F101099" w:rsidR="001D4229" w:rsidRDefault="00350455">
          <w:pPr>
            <w:pStyle w:val="TOC2"/>
            <w:tabs>
              <w:tab w:val="right" w:leader="dot" w:pos="9016"/>
            </w:tabs>
            <w:rPr>
              <w:rFonts w:eastAsiaTheme="minorEastAsia"/>
              <w:noProof/>
              <w:lang w:eastAsia="en-GB"/>
            </w:rPr>
          </w:pPr>
          <w:hyperlink w:anchor="_Toc96511377" w:history="1">
            <w:r w:rsidR="001D4229" w:rsidRPr="00C61445">
              <w:rPr>
                <w:rStyle w:val="Hyperlink"/>
                <w:noProof/>
              </w:rPr>
              <w:t>Introduction</w:t>
            </w:r>
            <w:r w:rsidR="001D4229">
              <w:rPr>
                <w:noProof/>
                <w:webHidden/>
              </w:rPr>
              <w:tab/>
            </w:r>
            <w:r w:rsidR="001D4229">
              <w:rPr>
                <w:noProof/>
                <w:webHidden/>
              </w:rPr>
              <w:fldChar w:fldCharType="begin"/>
            </w:r>
            <w:r w:rsidR="001D4229">
              <w:rPr>
                <w:noProof/>
                <w:webHidden/>
              </w:rPr>
              <w:instrText xml:space="preserve"> PAGEREF _Toc96511377 \h </w:instrText>
            </w:r>
            <w:r w:rsidR="001D4229">
              <w:rPr>
                <w:noProof/>
                <w:webHidden/>
              </w:rPr>
            </w:r>
            <w:r w:rsidR="001D4229">
              <w:rPr>
                <w:noProof/>
                <w:webHidden/>
              </w:rPr>
              <w:fldChar w:fldCharType="separate"/>
            </w:r>
            <w:r w:rsidR="001D4229">
              <w:rPr>
                <w:noProof/>
                <w:webHidden/>
              </w:rPr>
              <w:t>19</w:t>
            </w:r>
            <w:r w:rsidR="001D4229">
              <w:rPr>
                <w:noProof/>
                <w:webHidden/>
              </w:rPr>
              <w:fldChar w:fldCharType="end"/>
            </w:r>
          </w:hyperlink>
        </w:p>
        <w:p w14:paraId="61FA90D6" w14:textId="036A876E" w:rsidR="001D4229" w:rsidRDefault="00350455">
          <w:pPr>
            <w:pStyle w:val="TOC2"/>
            <w:tabs>
              <w:tab w:val="right" w:leader="dot" w:pos="9016"/>
            </w:tabs>
            <w:rPr>
              <w:rFonts w:eastAsiaTheme="minorEastAsia"/>
              <w:noProof/>
              <w:lang w:eastAsia="en-GB"/>
            </w:rPr>
          </w:pPr>
          <w:hyperlink w:anchor="_Toc96511378" w:history="1">
            <w:r w:rsidR="001D4229" w:rsidRPr="00C61445">
              <w:rPr>
                <w:rStyle w:val="Hyperlink"/>
                <w:noProof/>
              </w:rPr>
              <w:t>Air quality monitoring at ‘background sites’</w:t>
            </w:r>
            <w:r w:rsidR="001D4229">
              <w:rPr>
                <w:noProof/>
                <w:webHidden/>
              </w:rPr>
              <w:tab/>
            </w:r>
            <w:r w:rsidR="001D4229">
              <w:rPr>
                <w:noProof/>
                <w:webHidden/>
              </w:rPr>
              <w:fldChar w:fldCharType="begin"/>
            </w:r>
            <w:r w:rsidR="001D4229">
              <w:rPr>
                <w:noProof/>
                <w:webHidden/>
              </w:rPr>
              <w:instrText xml:space="preserve"> PAGEREF _Toc96511378 \h </w:instrText>
            </w:r>
            <w:r w:rsidR="001D4229">
              <w:rPr>
                <w:noProof/>
                <w:webHidden/>
              </w:rPr>
            </w:r>
            <w:r w:rsidR="001D4229">
              <w:rPr>
                <w:noProof/>
                <w:webHidden/>
              </w:rPr>
              <w:fldChar w:fldCharType="separate"/>
            </w:r>
            <w:r w:rsidR="001D4229">
              <w:rPr>
                <w:noProof/>
                <w:webHidden/>
              </w:rPr>
              <w:t>21</w:t>
            </w:r>
            <w:r w:rsidR="001D4229">
              <w:rPr>
                <w:noProof/>
                <w:webHidden/>
              </w:rPr>
              <w:fldChar w:fldCharType="end"/>
            </w:r>
          </w:hyperlink>
        </w:p>
        <w:p w14:paraId="64934EE9" w14:textId="26ACD353" w:rsidR="001D4229" w:rsidRDefault="00350455">
          <w:pPr>
            <w:pStyle w:val="TOC2"/>
            <w:tabs>
              <w:tab w:val="right" w:leader="dot" w:pos="9016"/>
            </w:tabs>
            <w:rPr>
              <w:rFonts w:eastAsiaTheme="minorEastAsia"/>
              <w:noProof/>
              <w:lang w:eastAsia="en-GB"/>
            </w:rPr>
          </w:pPr>
          <w:hyperlink w:anchor="_Toc96511379" w:history="1">
            <w:r w:rsidR="001D4229" w:rsidRPr="00C61445">
              <w:rPr>
                <w:rStyle w:val="Hyperlink"/>
                <w:noProof/>
              </w:rPr>
              <w:t>Nitrogen Dioxide overall data trend</w:t>
            </w:r>
            <w:r w:rsidR="001D4229">
              <w:rPr>
                <w:noProof/>
                <w:webHidden/>
              </w:rPr>
              <w:tab/>
            </w:r>
            <w:r w:rsidR="001D4229">
              <w:rPr>
                <w:noProof/>
                <w:webHidden/>
              </w:rPr>
              <w:fldChar w:fldCharType="begin"/>
            </w:r>
            <w:r w:rsidR="001D4229">
              <w:rPr>
                <w:noProof/>
                <w:webHidden/>
              </w:rPr>
              <w:instrText xml:space="preserve"> PAGEREF _Toc96511379 \h </w:instrText>
            </w:r>
            <w:r w:rsidR="001D4229">
              <w:rPr>
                <w:noProof/>
                <w:webHidden/>
              </w:rPr>
            </w:r>
            <w:r w:rsidR="001D4229">
              <w:rPr>
                <w:noProof/>
                <w:webHidden/>
              </w:rPr>
              <w:fldChar w:fldCharType="separate"/>
            </w:r>
            <w:r w:rsidR="001D4229">
              <w:rPr>
                <w:noProof/>
                <w:webHidden/>
              </w:rPr>
              <w:t>22</w:t>
            </w:r>
            <w:r w:rsidR="001D4229">
              <w:rPr>
                <w:noProof/>
                <w:webHidden/>
              </w:rPr>
              <w:fldChar w:fldCharType="end"/>
            </w:r>
          </w:hyperlink>
        </w:p>
        <w:p w14:paraId="02473370" w14:textId="42D4E629" w:rsidR="001D4229" w:rsidRDefault="00350455">
          <w:pPr>
            <w:pStyle w:val="TOC2"/>
            <w:tabs>
              <w:tab w:val="left" w:pos="880"/>
              <w:tab w:val="right" w:leader="dot" w:pos="9016"/>
            </w:tabs>
            <w:rPr>
              <w:rFonts w:eastAsiaTheme="minorEastAsia"/>
              <w:noProof/>
              <w:lang w:eastAsia="en-GB"/>
            </w:rPr>
          </w:pPr>
          <w:hyperlink w:anchor="_Toc96511380" w:history="1">
            <w:r w:rsidR="001D4229" w:rsidRPr="00C61445">
              <w:rPr>
                <w:rStyle w:val="Hyperlink"/>
                <w:noProof/>
              </w:rPr>
              <w:t>13.</w:t>
            </w:r>
            <w:r w:rsidR="001D4229">
              <w:rPr>
                <w:rFonts w:eastAsiaTheme="minorEastAsia"/>
                <w:noProof/>
                <w:lang w:eastAsia="en-GB"/>
              </w:rPr>
              <w:tab/>
            </w:r>
            <w:r w:rsidR="001D4229" w:rsidRPr="00C61445">
              <w:rPr>
                <w:rStyle w:val="Hyperlink"/>
                <w:noProof/>
              </w:rPr>
              <w:t>Air quality within the AQMAs</w:t>
            </w:r>
            <w:r w:rsidR="001D4229">
              <w:rPr>
                <w:noProof/>
                <w:webHidden/>
              </w:rPr>
              <w:tab/>
            </w:r>
            <w:r w:rsidR="001D4229">
              <w:rPr>
                <w:noProof/>
                <w:webHidden/>
              </w:rPr>
              <w:fldChar w:fldCharType="begin"/>
            </w:r>
            <w:r w:rsidR="001D4229">
              <w:rPr>
                <w:noProof/>
                <w:webHidden/>
              </w:rPr>
              <w:instrText xml:space="preserve"> PAGEREF _Toc96511380 \h </w:instrText>
            </w:r>
            <w:r w:rsidR="001D4229">
              <w:rPr>
                <w:noProof/>
                <w:webHidden/>
              </w:rPr>
            </w:r>
            <w:r w:rsidR="001D4229">
              <w:rPr>
                <w:noProof/>
                <w:webHidden/>
              </w:rPr>
              <w:fldChar w:fldCharType="separate"/>
            </w:r>
            <w:r w:rsidR="001D4229">
              <w:rPr>
                <w:noProof/>
                <w:webHidden/>
              </w:rPr>
              <w:t>23</w:t>
            </w:r>
            <w:r w:rsidR="001D4229">
              <w:rPr>
                <w:noProof/>
                <w:webHidden/>
              </w:rPr>
              <w:fldChar w:fldCharType="end"/>
            </w:r>
          </w:hyperlink>
        </w:p>
        <w:p w14:paraId="008D0DA8" w14:textId="30BA91AA" w:rsidR="001D4229" w:rsidRDefault="00350455">
          <w:pPr>
            <w:pStyle w:val="TOC3"/>
            <w:tabs>
              <w:tab w:val="right" w:leader="dot" w:pos="9016"/>
            </w:tabs>
            <w:rPr>
              <w:rFonts w:eastAsiaTheme="minorEastAsia"/>
              <w:noProof/>
              <w:lang w:eastAsia="en-GB"/>
            </w:rPr>
          </w:pPr>
          <w:hyperlink w:anchor="_Toc96511381" w:history="1">
            <w:r w:rsidR="001D4229" w:rsidRPr="00C61445">
              <w:rPr>
                <w:rStyle w:val="Hyperlink"/>
                <w:noProof/>
              </w:rPr>
              <w:t>Orchard Street AQMA</w:t>
            </w:r>
            <w:r w:rsidR="001D4229">
              <w:rPr>
                <w:noProof/>
                <w:webHidden/>
              </w:rPr>
              <w:tab/>
            </w:r>
            <w:r w:rsidR="001D4229">
              <w:rPr>
                <w:noProof/>
                <w:webHidden/>
              </w:rPr>
              <w:fldChar w:fldCharType="begin"/>
            </w:r>
            <w:r w:rsidR="001D4229">
              <w:rPr>
                <w:noProof/>
                <w:webHidden/>
              </w:rPr>
              <w:instrText xml:space="preserve"> PAGEREF _Toc96511381 \h </w:instrText>
            </w:r>
            <w:r w:rsidR="001D4229">
              <w:rPr>
                <w:noProof/>
                <w:webHidden/>
              </w:rPr>
            </w:r>
            <w:r w:rsidR="001D4229">
              <w:rPr>
                <w:noProof/>
                <w:webHidden/>
              </w:rPr>
              <w:fldChar w:fldCharType="separate"/>
            </w:r>
            <w:r w:rsidR="001D4229">
              <w:rPr>
                <w:noProof/>
                <w:webHidden/>
              </w:rPr>
              <w:t>23</w:t>
            </w:r>
            <w:r w:rsidR="001D4229">
              <w:rPr>
                <w:noProof/>
                <w:webHidden/>
              </w:rPr>
              <w:fldChar w:fldCharType="end"/>
            </w:r>
          </w:hyperlink>
        </w:p>
        <w:p w14:paraId="3E51A1D4" w14:textId="7BEB9004" w:rsidR="001D4229" w:rsidRDefault="00350455">
          <w:pPr>
            <w:pStyle w:val="TOC3"/>
            <w:tabs>
              <w:tab w:val="right" w:leader="dot" w:pos="9016"/>
            </w:tabs>
            <w:rPr>
              <w:rFonts w:eastAsiaTheme="minorEastAsia"/>
              <w:noProof/>
              <w:lang w:eastAsia="en-GB"/>
            </w:rPr>
          </w:pPr>
          <w:hyperlink w:anchor="_Toc96511382" w:history="1">
            <w:r w:rsidR="001D4229" w:rsidRPr="00C61445">
              <w:rPr>
                <w:rStyle w:val="Hyperlink"/>
                <w:noProof/>
              </w:rPr>
              <w:t>St Pancras AQMA</w:t>
            </w:r>
            <w:r w:rsidR="001D4229">
              <w:rPr>
                <w:noProof/>
                <w:webHidden/>
              </w:rPr>
              <w:tab/>
            </w:r>
            <w:r w:rsidR="001D4229">
              <w:rPr>
                <w:noProof/>
                <w:webHidden/>
              </w:rPr>
              <w:fldChar w:fldCharType="begin"/>
            </w:r>
            <w:r w:rsidR="001D4229">
              <w:rPr>
                <w:noProof/>
                <w:webHidden/>
              </w:rPr>
              <w:instrText xml:space="preserve"> PAGEREF _Toc96511382 \h </w:instrText>
            </w:r>
            <w:r w:rsidR="001D4229">
              <w:rPr>
                <w:noProof/>
                <w:webHidden/>
              </w:rPr>
            </w:r>
            <w:r w:rsidR="001D4229">
              <w:rPr>
                <w:noProof/>
                <w:webHidden/>
              </w:rPr>
              <w:fldChar w:fldCharType="separate"/>
            </w:r>
            <w:r w:rsidR="001D4229">
              <w:rPr>
                <w:noProof/>
                <w:webHidden/>
              </w:rPr>
              <w:t>24</w:t>
            </w:r>
            <w:r w:rsidR="001D4229">
              <w:rPr>
                <w:noProof/>
                <w:webHidden/>
              </w:rPr>
              <w:fldChar w:fldCharType="end"/>
            </w:r>
          </w:hyperlink>
        </w:p>
        <w:p w14:paraId="5CBA0A8A" w14:textId="0C0DF813" w:rsidR="001D4229" w:rsidRDefault="00350455">
          <w:pPr>
            <w:pStyle w:val="TOC3"/>
            <w:tabs>
              <w:tab w:val="right" w:leader="dot" w:pos="9016"/>
            </w:tabs>
            <w:rPr>
              <w:rFonts w:eastAsiaTheme="minorEastAsia"/>
              <w:noProof/>
              <w:lang w:eastAsia="en-GB"/>
            </w:rPr>
          </w:pPr>
          <w:hyperlink w:anchor="_Toc96511383" w:history="1">
            <w:r w:rsidR="001D4229" w:rsidRPr="00C61445">
              <w:rPr>
                <w:rStyle w:val="Hyperlink"/>
                <w:noProof/>
              </w:rPr>
              <w:t>Stockbridge</w:t>
            </w:r>
            <w:r w:rsidR="001D4229">
              <w:rPr>
                <w:noProof/>
                <w:webHidden/>
              </w:rPr>
              <w:tab/>
            </w:r>
            <w:r w:rsidR="001D4229">
              <w:rPr>
                <w:noProof/>
                <w:webHidden/>
              </w:rPr>
              <w:fldChar w:fldCharType="begin"/>
            </w:r>
            <w:r w:rsidR="001D4229">
              <w:rPr>
                <w:noProof/>
                <w:webHidden/>
              </w:rPr>
              <w:instrText xml:space="preserve"> PAGEREF _Toc96511383 \h </w:instrText>
            </w:r>
            <w:r w:rsidR="001D4229">
              <w:rPr>
                <w:noProof/>
                <w:webHidden/>
              </w:rPr>
            </w:r>
            <w:r w:rsidR="001D4229">
              <w:rPr>
                <w:noProof/>
                <w:webHidden/>
              </w:rPr>
              <w:fldChar w:fldCharType="separate"/>
            </w:r>
            <w:r w:rsidR="001D4229">
              <w:rPr>
                <w:noProof/>
                <w:webHidden/>
              </w:rPr>
              <w:t>24</w:t>
            </w:r>
            <w:r w:rsidR="001D4229">
              <w:rPr>
                <w:noProof/>
                <w:webHidden/>
              </w:rPr>
              <w:fldChar w:fldCharType="end"/>
            </w:r>
          </w:hyperlink>
        </w:p>
        <w:p w14:paraId="683336A2" w14:textId="7083C9B3" w:rsidR="001D4229" w:rsidRDefault="00350455">
          <w:pPr>
            <w:pStyle w:val="TOC3"/>
            <w:tabs>
              <w:tab w:val="right" w:leader="dot" w:pos="9016"/>
            </w:tabs>
            <w:rPr>
              <w:rFonts w:eastAsiaTheme="minorEastAsia"/>
              <w:noProof/>
              <w:lang w:eastAsia="en-GB"/>
            </w:rPr>
          </w:pPr>
          <w:hyperlink w:anchor="_Toc96511384" w:history="1">
            <w:r w:rsidR="001D4229" w:rsidRPr="00C61445">
              <w:rPr>
                <w:rStyle w:val="Hyperlink"/>
                <w:noProof/>
              </w:rPr>
              <w:t>Rumbolds Hill</w:t>
            </w:r>
            <w:r w:rsidR="001D4229">
              <w:rPr>
                <w:noProof/>
                <w:webHidden/>
              </w:rPr>
              <w:tab/>
            </w:r>
            <w:r w:rsidR="001D4229">
              <w:rPr>
                <w:noProof/>
                <w:webHidden/>
              </w:rPr>
              <w:fldChar w:fldCharType="begin"/>
            </w:r>
            <w:r w:rsidR="001D4229">
              <w:rPr>
                <w:noProof/>
                <w:webHidden/>
              </w:rPr>
              <w:instrText xml:space="preserve"> PAGEREF _Toc96511384 \h </w:instrText>
            </w:r>
            <w:r w:rsidR="001D4229">
              <w:rPr>
                <w:noProof/>
                <w:webHidden/>
              </w:rPr>
            </w:r>
            <w:r w:rsidR="001D4229">
              <w:rPr>
                <w:noProof/>
                <w:webHidden/>
              </w:rPr>
              <w:fldChar w:fldCharType="separate"/>
            </w:r>
            <w:r w:rsidR="001D4229">
              <w:rPr>
                <w:noProof/>
                <w:webHidden/>
              </w:rPr>
              <w:t>26</w:t>
            </w:r>
            <w:r w:rsidR="001D4229">
              <w:rPr>
                <w:noProof/>
                <w:webHidden/>
              </w:rPr>
              <w:fldChar w:fldCharType="end"/>
            </w:r>
          </w:hyperlink>
        </w:p>
        <w:p w14:paraId="0FC3D147" w14:textId="3C16078A" w:rsidR="001D4229" w:rsidRDefault="00350455">
          <w:pPr>
            <w:pStyle w:val="TOC1"/>
            <w:tabs>
              <w:tab w:val="right" w:leader="dot" w:pos="9016"/>
            </w:tabs>
            <w:rPr>
              <w:rFonts w:eastAsiaTheme="minorEastAsia"/>
              <w:noProof/>
              <w:lang w:eastAsia="en-GB"/>
            </w:rPr>
          </w:pPr>
          <w:hyperlink w:anchor="_Toc96511385" w:history="1">
            <w:r w:rsidR="001D4229" w:rsidRPr="00C61445">
              <w:rPr>
                <w:rStyle w:val="Hyperlink"/>
                <w:noProof/>
              </w:rPr>
              <w:t>Ozone monitoring</w:t>
            </w:r>
            <w:r w:rsidR="001D4229">
              <w:rPr>
                <w:noProof/>
                <w:webHidden/>
              </w:rPr>
              <w:tab/>
            </w:r>
            <w:r w:rsidR="001D4229">
              <w:rPr>
                <w:noProof/>
                <w:webHidden/>
              </w:rPr>
              <w:fldChar w:fldCharType="begin"/>
            </w:r>
            <w:r w:rsidR="001D4229">
              <w:rPr>
                <w:noProof/>
                <w:webHidden/>
              </w:rPr>
              <w:instrText xml:space="preserve"> PAGEREF _Toc96511385 \h </w:instrText>
            </w:r>
            <w:r w:rsidR="001D4229">
              <w:rPr>
                <w:noProof/>
                <w:webHidden/>
              </w:rPr>
            </w:r>
            <w:r w:rsidR="001D4229">
              <w:rPr>
                <w:noProof/>
                <w:webHidden/>
              </w:rPr>
              <w:fldChar w:fldCharType="separate"/>
            </w:r>
            <w:r w:rsidR="001D4229">
              <w:rPr>
                <w:noProof/>
                <w:webHidden/>
              </w:rPr>
              <w:t>27</w:t>
            </w:r>
            <w:r w:rsidR="001D4229">
              <w:rPr>
                <w:noProof/>
                <w:webHidden/>
              </w:rPr>
              <w:fldChar w:fldCharType="end"/>
            </w:r>
          </w:hyperlink>
        </w:p>
        <w:p w14:paraId="66403DE6" w14:textId="4926FB4E" w:rsidR="001D4229" w:rsidRDefault="00350455">
          <w:pPr>
            <w:pStyle w:val="TOC1"/>
            <w:tabs>
              <w:tab w:val="left" w:pos="660"/>
              <w:tab w:val="right" w:leader="dot" w:pos="9016"/>
            </w:tabs>
            <w:rPr>
              <w:rFonts w:eastAsiaTheme="minorEastAsia"/>
              <w:noProof/>
              <w:lang w:eastAsia="en-GB"/>
            </w:rPr>
          </w:pPr>
          <w:hyperlink w:anchor="_Toc96511386" w:history="1">
            <w:r w:rsidR="001D4229" w:rsidRPr="00C61445">
              <w:rPr>
                <w:rStyle w:val="Hyperlink"/>
                <w:noProof/>
              </w:rPr>
              <w:t>14.</w:t>
            </w:r>
            <w:r w:rsidR="001D4229">
              <w:rPr>
                <w:rFonts w:eastAsiaTheme="minorEastAsia"/>
                <w:noProof/>
                <w:lang w:eastAsia="en-GB"/>
              </w:rPr>
              <w:tab/>
            </w:r>
            <w:r w:rsidR="001D4229" w:rsidRPr="00C61445">
              <w:rPr>
                <w:rStyle w:val="Hyperlink"/>
                <w:noProof/>
              </w:rPr>
              <w:t>Air Quality Modelling Data in Chichester District</w:t>
            </w:r>
            <w:r w:rsidR="001D4229">
              <w:rPr>
                <w:noProof/>
                <w:webHidden/>
              </w:rPr>
              <w:tab/>
            </w:r>
            <w:r w:rsidR="001D4229">
              <w:rPr>
                <w:noProof/>
                <w:webHidden/>
              </w:rPr>
              <w:fldChar w:fldCharType="begin"/>
            </w:r>
            <w:r w:rsidR="001D4229">
              <w:rPr>
                <w:noProof/>
                <w:webHidden/>
              </w:rPr>
              <w:instrText xml:space="preserve"> PAGEREF _Toc96511386 \h </w:instrText>
            </w:r>
            <w:r w:rsidR="001D4229">
              <w:rPr>
                <w:noProof/>
                <w:webHidden/>
              </w:rPr>
            </w:r>
            <w:r w:rsidR="001D4229">
              <w:rPr>
                <w:noProof/>
                <w:webHidden/>
              </w:rPr>
              <w:fldChar w:fldCharType="separate"/>
            </w:r>
            <w:r w:rsidR="001D4229">
              <w:rPr>
                <w:noProof/>
                <w:webHidden/>
              </w:rPr>
              <w:t>28</w:t>
            </w:r>
            <w:r w:rsidR="001D4229">
              <w:rPr>
                <w:noProof/>
                <w:webHidden/>
              </w:rPr>
              <w:fldChar w:fldCharType="end"/>
            </w:r>
          </w:hyperlink>
        </w:p>
        <w:p w14:paraId="499387BB" w14:textId="591E6F01" w:rsidR="001D4229" w:rsidRDefault="00350455">
          <w:pPr>
            <w:pStyle w:val="TOC1"/>
            <w:tabs>
              <w:tab w:val="left" w:pos="660"/>
              <w:tab w:val="right" w:leader="dot" w:pos="9016"/>
            </w:tabs>
            <w:rPr>
              <w:rFonts w:eastAsiaTheme="minorEastAsia"/>
              <w:noProof/>
              <w:lang w:eastAsia="en-GB"/>
            </w:rPr>
          </w:pPr>
          <w:hyperlink w:anchor="_Toc96511387" w:history="1">
            <w:r w:rsidR="001D4229" w:rsidRPr="00C61445">
              <w:rPr>
                <w:rStyle w:val="Hyperlink"/>
                <w:noProof/>
              </w:rPr>
              <w:t>15.</w:t>
            </w:r>
            <w:r w:rsidR="001D4229">
              <w:rPr>
                <w:rFonts w:eastAsiaTheme="minorEastAsia"/>
                <w:noProof/>
                <w:lang w:eastAsia="en-GB"/>
              </w:rPr>
              <w:tab/>
            </w:r>
            <w:r w:rsidR="001D4229" w:rsidRPr="00C61445">
              <w:rPr>
                <w:rStyle w:val="Hyperlink"/>
                <w:noProof/>
              </w:rPr>
              <w:t>Required reductions in emissions</w:t>
            </w:r>
            <w:r w:rsidR="001D4229">
              <w:rPr>
                <w:noProof/>
                <w:webHidden/>
              </w:rPr>
              <w:tab/>
            </w:r>
            <w:r w:rsidR="001D4229">
              <w:rPr>
                <w:noProof/>
                <w:webHidden/>
              </w:rPr>
              <w:fldChar w:fldCharType="begin"/>
            </w:r>
            <w:r w:rsidR="001D4229">
              <w:rPr>
                <w:noProof/>
                <w:webHidden/>
              </w:rPr>
              <w:instrText xml:space="preserve"> PAGEREF _Toc96511387 \h </w:instrText>
            </w:r>
            <w:r w:rsidR="001D4229">
              <w:rPr>
                <w:noProof/>
                <w:webHidden/>
              </w:rPr>
            </w:r>
            <w:r w:rsidR="001D4229">
              <w:rPr>
                <w:noProof/>
                <w:webHidden/>
              </w:rPr>
              <w:fldChar w:fldCharType="separate"/>
            </w:r>
            <w:r w:rsidR="001D4229">
              <w:rPr>
                <w:noProof/>
                <w:webHidden/>
              </w:rPr>
              <w:t>36</w:t>
            </w:r>
            <w:r w:rsidR="001D4229">
              <w:rPr>
                <w:noProof/>
                <w:webHidden/>
              </w:rPr>
              <w:fldChar w:fldCharType="end"/>
            </w:r>
          </w:hyperlink>
        </w:p>
        <w:p w14:paraId="3BCAEF58" w14:textId="11AD5E30" w:rsidR="001D4229" w:rsidRDefault="00350455">
          <w:pPr>
            <w:pStyle w:val="TOC1"/>
            <w:tabs>
              <w:tab w:val="left" w:pos="660"/>
              <w:tab w:val="right" w:leader="dot" w:pos="9016"/>
            </w:tabs>
            <w:rPr>
              <w:rFonts w:eastAsiaTheme="minorEastAsia"/>
              <w:noProof/>
              <w:lang w:eastAsia="en-GB"/>
            </w:rPr>
          </w:pPr>
          <w:hyperlink w:anchor="_Toc96511388" w:history="1">
            <w:r w:rsidR="001D4229" w:rsidRPr="00C61445">
              <w:rPr>
                <w:rStyle w:val="Hyperlink"/>
                <w:noProof/>
              </w:rPr>
              <w:t>16.</w:t>
            </w:r>
            <w:r w:rsidR="001D4229">
              <w:rPr>
                <w:rFonts w:eastAsiaTheme="minorEastAsia"/>
                <w:noProof/>
                <w:lang w:eastAsia="en-GB"/>
              </w:rPr>
              <w:tab/>
            </w:r>
            <w:r w:rsidR="001D4229" w:rsidRPr="00C61445">
              <w:rPr>
                <w:rStyle w:val="Hyperlink"/>
                <w:noProof/>
              </w:rPr>
              <w:t>The Way Forward</w:t>
            </w:r>
            <w:r w:rsidR="001D4229">
              <w:rPr>
                <w:noProof/>
                <w:webHidden/>
              </w:rPr>
              <w:tab/>
            </w:r>
            <w:r w:rsidR="001D4229">
              <w:rPr>
                <w:noProof/>
                <w:webHidden/>
              </w:rPr>
              <w:fldChar w:fldCharType="begin"/>
            </w:r>
            <w:r w:rsidR="001D4229">
              <w:rPr>
                <w:noProof/>
                <w:webHidden/>
              </w:rPr>
              <w:instrText xml:space="preserve"> PAGEREF _Toc96511388 \h </w:instrText>
            </w:r>
            <w:r w:rsidR="001D4229">
              <w:rPr>
                <w:noProof/>
                <w:webHidden/>
              </w:rPr>
            </w:r>
            <w:r w:rsidR="001D4229">
              <w:rPr>
                <w:noProof/>
                <w:webHidden/>
              </w:rPr>
              <w:fldChar w:fldCharType="separate"/>
            </w:r>
            <w:r w:rsidR="001D4229">
              <w:rPr>
                <w:noProof/>
                <w:webHidden/>
              </w:rPr>
              <w:t>38</w:t>
            </w:r>
            <w:r w:rsidR="001D4229">
              <w:rPr>
                <w:noProof/>
                <w:webHidden/>
              </w:rPr>
              <w:fldChar w:fldCharType="end"/>
            </w:r>
          </w:hyperlink>
        </w:p>
        <w:p w14:paraId="734CD7B6" w14:textId="15CCCB6B" w:rsidR="001D4229" w:rsidRDefault="00350455">
          <w:pPr>
            <w:pStyle w:val="TOC1"/>
            <w:tabs>
              <w:tab w:val="left" w:pos="660"/>
              <w:tab w:val="right" w:leader="dot" w:pos="9016"/>
            </w:tabs>
            <w:rPr>
              <w:rFonts w:eastAsiaTheme="minorEastAsia"/>
              <w:noProof/>
              <w:lang w:eastAsia="en-GB"/>
            </w:rPr>
          </w:pPr>
          <w:hyperlink w:anchor="_Toc96511389" w:history="1">
            <w:r w:rsidR="001D4229" w:rsidRPr="00C61445">
              <w:rPr>
                <w:rStyle w:val="Hyperlink"/>
                <w:noProof/>
              </w:rPr>
              <w:t>17.</w:t>
            </w:r>
            <w:r w:rsidR="001D4229">
              <w:rPr>
                <w:rFonts w:eastAsiaTheme="minorEastAsia"/>
                <w:noProof/>
                <w:lang w:eastAsia="en-GB"/>
              </w:rPr>
              <w:tab/>
            </w:r>
            <w:r w:rsidR="001D4229" w:rsidRPr="00C61445">
              <w:rPr>
                <w:rStyle w:val="Hyperlink"/>
                <w:noProof/>
              </w:rPr>
              <w:t>Conclusions and recommendations from the Monitoring and Modelling</w:t>
            </w:r>
            <w:r w:rsidR="001D4229">
              <w:rPr>
                <w:noProof/>
                <w:webHidden/>
              </w:rPr>
              <w:tab/>
            </w:r>
            <w:r w:rsidR="001D4229">
              <w:rPr>
                <w:noProof/>
                <w:webHidden/>
              </w:rPr>
              <w:fldChar w:fldCharType="begin"/>
            </w:r>
            <w:r w:rsidR="001D4229">
              <w:rPr>
                <w:noProof/>
                <w:webHidden/>
              </w:rPr>
              <w:instrText xml:space="preserve"> PAGEREF _Toc96511389 \h </w:instrText>
            </w:r>
            <w:r w:rsidR="001D4229">
              <w:rPr>
                <w:noProof/>
                <w:webHidden/>
              </w:rPr>
            </w:r>
            <w:r w:rsidR="001D4229">
              <w:rPr>
                <w:noProof/>
                <w:webHidden/>
              </w:rPr>
              <w:fldChar w:fldCharType="separate"/>
            </w:r>
            <w:r w:rsidR="001D4229">
              <w:rPr>
                <w:noProof/>
                <w:webHidden/>
              </w:rPr>
              <w:t>38</w:t>
            </w:r>
            <w:r w:rsidR="001D4229">
              <w:rPr>
                <w:noProof/>
                <w:webHidden/>
              </w:rPr>
              <w:fldChar w:fldCharType="end"/>
            </w:r>
          </w:hyperlink>
        </w:p>
        <w:p w14:paraId="65FC4BAA" w14:textId="33EC4887" w:rsidR="001D4229" w:rsidRDefault="00350455">
          <w:pPr>
            <w:pStyle w:val="TOC1"/>
            <w:tabs>
              <w:tab w:val="left" w:pos="660"/>
              <w:tab w:val="right" w:leader="dot" w:pos="9016"/>
            </w:tabs>
            <w:rPr>
              <w:rFonts w:eastAsiaTheme="minorEastAsia"/>
              <w:noProof/>
              <w:lang w:eastAsia="en-GB"/>
            </w:rPr>
          </w:pPr>
          <w:hyperlink w:anchor="_Toc96511390" w:history="1">
            <w:r w:rsidR="001D4229" w:rsidRPr="00C61445">
              <w:rPr>
                <w:rStyle w:val="Hyperlink"/>
                <w:noProof/>
              </w:rPr>
              <w:t>18.</w:t>
            </w:r>
            <w:r w:rsidR="001D4229">
              <w:rPr>
                <w:rFonts w:eastAsiaTheme="minorEastAsia"/>
                <w:noProof/>
                <w:lang w:eastAsia="en-GB"/>
              </w:rPr>
              <w:tab/>
            </w:r>
            <w:r w:rsidR="001D4229" w:rsidRPr="00C61445">
              <w:rPr>
                <w:rStyle w:val="Hyperlink"/>
                <w:noProof/>
              </w:rPr>
              <w:t>Air Quality Actions - Key Themes</w:t>
            </w:r>
            <w:r w:rsidR="001D4229">
              <w:rPr>
                <w:noProof/>
                <w:webHidden/>
              </w:rPr>
              <w:tab/>
            </w:r>
            <w:r w:rsidR="001D4229">
              <w:rPr>
                <w:noProof/>
                <w:webHidden/>
              </w:rPr>
              <w:fldChar w:fldCharType="begin"/>
            </w:r>
            <w:r w:rsidR="001D4229">
              <w:rPr>
                <w:noProof/>
                <w:webHidden/>
              </w:rPr>
              <w:instrText xml:space="preserve"> PAGEREF _Toc96511390 \h </w:instrText>
            </w:r>
            <w:r w:rsidR="001D4229">
              <w:rPr>
                <w:noProof/>
                <w:webHidden/>
              </w:rPr>
            </w:r>
            <w:r w:rsidR="001D4229">
              <w:rPr>
                <w:noProof/>
                <w:webHidden/>
              </w:rPr>
              <w:fldChar w:fldCharType="separate"/>
            </w:r>
            <w:r w:rsidR="001D4229">
              <w:rPr>
                <w:noProof/>
                <w:webHidden/>
              </w:rPr>
              <w:t>39</w:t>
            </w:r>
            <w:r w:rsidR="001D4229">
              <w:rPr>
                <w:noProof/>
                <w:webHidden/>
              </w:rPr>
              <w:fldChar w:fldCharType="end"/>
            </w:r>
          </w:hyperlink>
        </w:p>
        <w:p w14:paraId="1AEF9DFD" w14:textId="651A727C" w:rsidR="001D4229" w:rsidRDefault="00350455">
          <w:pPr>
            <w:pStyle w:val="TOC1"/>
            <w:tabs>
              <w:tab w:val="left" w:pos="660"/>
              <w:tab w:val="right" w:leader="dot" w:pos="9016"/>
            </w:tabs>
            <w:rPr>
              <w:rFonts w:eastAsiaTheme="minorEastAsia"/>
              <w:noProof/>
              <w:lang w:eastAsia="en-GB"/>
            </w:rPr>
          </w:pPr>
          <w:hyperlink w:anchor="_Toc96511391" w:history="1">
            <w:r w:rsidR="001D4229" w:rsidRPr="00C61445">
              <w:rPr>
                <w:rStyle w:val="Hyperlink"/>
                <w:noProof/>
              </w:rPr>
              <w:t>19.</w:t>
            </w:r>
            <w:r w:rsidR="001D4229">
              <w:rPr>
                <w:rFonts w:eastAsiaTheme="minorEastAsia"/>
                <w:noProof/>
                <w:lang w:eastAsia="en-GB"/>
              </w:rPr>
              <w:tab/>
            </w:r>
            <w:r w:rsidR="001D4229" w:rsidRPr="00C61445">
              <w:rPr>
                <w:rStyle w:val="Hyperlink"/>
                <w:noProof/>
              </w:rPr>
              <w:t>Priorities for Action</w:t>
            </w:r>
            <w:r w:rsidR="001D4229">
              <w:rPr>
                <w:noProof/>
                <w:webHidden/>
              </w:rPr>
              <w:tab/>
            </w:r>
            <w:r w:rsidR="001D4229">
              <w:rPr>
                <w:noProof/>
                <w:webHidden/>
              </w:rPr>
              <w:fldChar w:fldCharType="begin"/>
            </w:r>
            <w:r w:rsidR="001D4229">
              <w:rPr>
                <w:noProof/>
                <w:webHidden/>
              </w:rPr>
              <w:instrText xml:space="preserve"> PAGEREF _Toc96511391 \h </w:instrText>
            </w:r>
            <w:r w:rsidR="001D4229">
              <w:rPr>
                <w:noProof/>
                <w:webHidden/>
              </w:rPr>
            </w:r>
            <w:r w:rsidR="001D4229">
              <w:rPr>
                <w:noProof/>
                <w:webHidden/>
              </w:rPr>
              <w:fldChar w:fldCharType="separate"/>
            </w:r>
            <w:r w:rsidR="001D4229">
              <w:rPr>
                <w:noProof/>
                <w:webHidden/>
              </w:rPr>
              <w:t>41</w:t>
            </w:r>
            <w:r w:rsidR="001D4229">
              <w:rPr>
                <w:noProof/>
                <w:webHidden/>
              </w:rPr>
              <w:fldChar w:fldCharType="end"/>
            </w:r>
          </w:hyperlink>
        </w:p>
        <w:p w14:paraId="758CB598" w14:textId="14FA3DC0" w:rsidR="001D4229" w:rsidRDefault="00350455">
          <w:pPr>
            <w:pStyle w:val="TOC1"/>
            <w:tabs>
              <w:tab w:val="right" w:leader="dot" w:pos="9016"/>
            </w:tabs>
            <w:rPr>
              <w:rFonts w:eastAsiaTheme="minorEastAsia"/>
              <w:noProof/>
              <w:lang w:eastAsia="en-GB"/>
            </w:rPr>
          </w:pPr>
          <w:hyperlink w:anchor="_Toc96511392" w:history="1">
            <w:r w:rsidR="001D4229" w:rsidRPr="00C61445">
              <w:rPr>
                <w:rStyle w:val="Hyperlink"/>
                <w:noProof/>
              </w:rPr>
              <w:t>Appendix 1: Response to Consultation</w:t>
            </w:r>
            <w:r w:rsidR="001D4229">
              <w:rPr>
                <w:noProof/>
                <w:webHidden/>
              </w:rPr>
              <w:tab/>
            </w:r>
            <w:r w:rsidR="001D4229">
              <w:rPr>
                <w:noProof/>
                <w:webHidden/>
              </w:rPr>
              <w:fldChar w:fldCharType="begin"/>
            </w:r>
            <w:r w:rsidR="001D4229">
              <w:rPr>
                <w:noProof/>
                <w:webHidden/>
              </w:rPr>
              <w:instrText xml:space="preserve"> PAGEREF _Toc96511392 \h </w:instrText>
            </w:r>
            <w:r w:rsidR="001D4229">
              <w:rPr>
                <w:noProof/>
                <w:webHidden/>
              </w:rPr>
            </w:r>
            <w:r w:rsidR="001D4229">
              <w:rPr>
                <w:noProof/>
                <w:webHidden/>
              </w:rPr>
              <w:fldChar w:fldCharType="separate"/>
            </w:r>
            <w:r w:rsidR="001D4229">
              <w:rPr>
                <w:noProof/>
                <w:webHidden/>
              </w:rPr>
              <w:t>53</w:t>
            </w:r>
            <w:r w:rsidR="001D4229">
              <w:rPr>
                <w:noProof/>
                <w:webHidden/>
              </w:rPr>
              <w:fldChar w:fldCharType="end"/>
            </w:r>
          </w:hyperlink>
        </w:p>
        <w:p w14:paraId="321F7B62" w14:textId="0DE23E31" w:rsidR="001D4229" w:rsidRDefault="00350455">
          <w:pPr>
            <w:pStyle w:val="TOC1"/>
            <w:tabs>
              <w:tab w:val="right" w:leader="dot" w:pos="9016"/>
            </w:tabs>
            <w:rPr>
              <w:rFonts w:eastAsiaTheme="minorEastAsia"/>
              <w:noProof/>
              <w:lang w:eastAsia="en-GB"/>
            </w:rPr>
          </w:pPr>
          <w:hyperlink w:anchor="_Toc96511393" w:history="1">
            <w:r w:rsidR="001D4229" w:rsidRPr="00C61445">
              <w:rPr>
                <w:rStyle w:val="Hyperlink"/>
                <w:noProof/>
              </w:rPr>
              <w:t>Appendix 2: Reasons for Not Pursuing Action Plan Measures</w:t>
            </w:r>
            <w:r w:rsidR="001D4229">
              <w:rPr>
                <w:noProof/>
                <w:webHidden/>
              </w:rPr>
              <w:tab/>
            </w:r>
            <w:r w:rsidR="001D4229">
              <w:rPr>
                <w:noProof/>
                <w:webHidden/>
              </w:rPr>
              <w:fldChar w:fldCharType="begin"/>
            </w:r>
            <w:r w:rsidR="001D4229">
              <w:rPr>
                <w:noProof/>
                <w:webHidden/>
              </w:rPr>
              <w:instrText xml:space="preserve"> PAGEREF _Toc96511393 \h </w:instrText>
            </w:r>
            <w:r w:rsidR="001D4229">
              <w:rPr>
                <w:noProof/>
                <w:webHidden/>
              </w:rPr>
            </w:r>
            <w:r w:rsidR="001D4229">
              <w:rPr>
                <w:noProof/>
                <w:webHidden/>
              </w:rPr>
              <w:fldChar w:fldCharType="separate"/>
            </w:r>
            <w:r w:rsidR="001D4229">
              <w:rPr>
                <w:noProof/>
                <w:webHidden/>
              </w:rPr>
              <w:t>54</w:t>
            </w:r>
            <w:r w:rsidR="001D4229">
              <w:rPr>
                <w:noProof/>
                <w:webHidden/>
              </w:rPr>
              <w:fldChar w:fldCharType="end"/>
            </w:r>
          </w:hyperlink>
        </w:p>
        <w:p w14:paraId="7CCD3F7B" w14:textId="2CD68A9F" w:rsidR="001D4229" w:rsidRDefault="00350455">
          <w:pPr>
            <w:pStyle w:val="TOC1"/>
            <w:tabs>
              <w:tab w:val="right" w:leader="dot" w:pos="9016"/>
            </w:tabs>
            <w:rPr>
              <w:rFonts w:eastAsiaTheme="minorEastAsia"/>
              <w:noProof/>
              <w:lang w:eastAsia="en-GB"/>
            </w:rPr>
          </w:pPr>
          <w:hyperlink w:anchor="_Toc96511394" w:history="1">
            <w:r w:rsidR="001D4229" w:rsidRPr="00C61445">
              <w:rPr>
                <w:rStyle w:val="Hyperlink"/>
                <w:noProof/>
              </w:rPr>
              <w:t>Appendix 3: Rumbolds Hill, Air Quality Management Area</w:t>
            </w:r>
            <w:r w:rsidR="001D4229">
              <w:rPr>
                <w:noProof/>
                <w:webHidden/>
              </w:rPr>
              <w:tab/>
            </w:r>
            <w:r w:rsidR="001D4229">
              <w:rPr>
                <w:noProof/>
                <w:webHidden/>
              </w:rPr>
              <w:fldChar w:fldCharType="begin"/>
            </w:r>
            <w:r w:rsidR="001D4229">
              <w:rPr>
                <w:noProof/>
                <w:webHidden/>
              </w:rPr>
              <w:instrText xml:space="preserve"> PAGEREF _Toc96511394 \h </w:instrText>
            </w:r>
            <w:r w:rsidR="001D4229">
              <w:rPr>
                <w:noProof/>
                <w:webHidden/>
              </w:rPr>
            </w:r>
            <w:r w:rsidR="001D4229">
              <w:rPr>
                <w:noProof/>
                <w:webHidden/>
              </w:rPr>
              <w:fldChar w:fldCharType="separate"/>
            </w:r>
            <w:r w:rsidR="001D4229">
              <w:rPr>
                <w:noProof/>
                <w:webHidden/>
              </w:rPr>
              <w:t>55</w:t>
            </w:r>
            <w:r w:rsidR="001D4229">
              <w:rPr>
                <w:noProof/>
                <w:webHidden/>
              </w:rPr>
              <w:fldChar w:fldCharType="end"/>
            </w:r>
          </w:hyperlink>
        </w:p>
        <w:p w14:paraId="69094C90" w14:textId="2B4BB837" w:rsidR="001D4229" w:rsidRDefault="00350455">
          <w:pPr>
            <w:pStyle w:val="TOC1"/>
            <w:tabs>
              <w:tab w:val="right" w:leader="dot" w:pos="9016"/>
            </w:tabs>
            <w:rPr>
              <w:rFonts w:eastAsiaTheme="minorEastAsia"/>
              <w:noProof/>
              <w:lang w:eastAsia="en-GB"/>
            </w:rPr>
          </w:pPr>
          <w:hyperlink w:anchor="_Toc96511395" w:history="1">
            <w:r w:rsidR="001D4229" w:rsidRPr="00C61445">
              <w:rPr>
                <w:rStyle w:val="Hyperlink"/>
                <w:noProof/>
              </w:rPr>
              <w:t>Appendix 4: Calculation to determine the Road NOx Emission necessary to achieve compliance at St Pancras, Chichester:</w:t>
            </w:r>
            <w:r w:rsidR="001D4229">
              <w:rPr>
                <w:noProof/>
                <w:webHidden/>
              </w:rPr>
              <w:tab/>
            </w:r>
            <w:r w:rsidR="001D4229">
              <w:rPr>
                <w:noProof/>
                <w:webHidden/>
              </w:rPr>
              <w:fldChar w:fldCharType="begin"/>
            </w:r>
            <w:r w:rsidR="001D4229">
              <w:rPr>
                <w:noProof/>
                <w:webHidden/>
              </w:rPr>
              <w:instrText xml:space="preserve"> PAGEREF _Toc96511395 \h </w:instrText>
            </w:r>
            <w:r w:rsidR="001D4229">
              <w:rPr>
                <w:noProof/>
                <w:webHidden/>
              </w:rPr>
            </w:r>
            <w:r w:rsidR="001D4229">
              <w:rPr>
                <w:noProof/>
                <w:webHidden/>
              </w:rPr>
              <w:fldChar w:fldCharType="separate"/>
            </w:r>
            <w:r w:rsidR="001D4229">
              <w:rPr>
                <w:noProof/>
                <w:webHidden/>
              </w:rPr>
              <w:t>56</w:t>
            </w:r>
            <w:r w:rsidR="001D4229">
              <w:rPr>
                <w:noProof/>
                <w:webHidden/>
              </w:rPr>
              <w:fldChar w:fldCharType="end"/>
            </w:r>
          </w:hyperlink>
        </w:p>
        <w:p w14:paraId="24CB2C52" w14:textId="62A291EB" w:rsidR="001D4229" w:rsidRDefault="00350455">
          <w:pPr>
            <w:pStyle w:val="TOC1"/>
            <w:tabs>
              <w:tab w:val="right" w:leader="dot" w:pos="9016"/>
            </w:tabs>
            <w:rPr>
              <w:rFonts w:eastAsiaTheme="minorEastAsia"/>
              <w:noProof/>
              <w:lang w:eastAsia="en-GB"/>
            </w:rPr>
          </w:pPr>
          <w:hyperlink w:anchor="_Toc96511396" w:history="1">
            <w:r w:rsidR="001D4229" w:rsidRPr="00C61445">
              <w:rPr>
                <w:rStyle w:val="Hyperlink"/>
                <w:noProof/>
              </w:rPr>
              <w:t>Appendix 5: Calculation to estimate PM2.5 concentrations in Chichester District:</w:t>
            </w:r>
            <w:r w:rsidR="001D4229">
              <w:rPr>
                <w:noProof/>
                <w:webHidden/>
              </w:rPr>
              <w:tab/>
            </w:r>
            <w:r w:rsidR="001D4229">
              <w:rPr>
                <w:noProof/>
                <w:webHidden/>
              </w:rPr>
              <w:fldChar w:fldCharType="begin"/>
            </w:r>
            <w:r w:rsidR="001D4229">
              <w:rPr>
                <w:noProof/>
                <w:webHidden/>
              </w:rPr>
              <w:instrText xml:space="preserve"> PAGEREF _Toc96511396 \h </w:instrText>
            </w:r>
            <w:r w:rsidR="001D4229">
              <w:rPr>
                <w:noProof/>
                <w:webHidden/>
              </w:rPr>
            </w:r>
            <w:r w:rsidR="001D4229">
              <w:rPr>
                <w:noProof/>
                <w:webHidden/>
              </w:rPr>
              <w:fldChar w:fldCharType="separate"/>
            </w:r>
            <w:r w:rsidR="001D4229">
              <w:rPr>
                <w:noProof/>
                <w:webHidden/>
              </w:rPr>
              <w:t>57</w:t>
            </w:r>
            <w:r w:rsidR="001D4229">
              <w:rPr>
                <w:noProof/>
                <w:webHidden/>
              </w:rPr>
              <w:fldChar w:fldCharType="end"/>
            </w:r>
          </w:hyperlink>
        </w:p>
        <w:p w14:paraId="7549C03E" w14:textId="217010DF" w:rsidR="00442FD7" w:rsidRDefault="00442FD7">
          <w:r>
            <w:rPr>
              <w:b/>
              <w:bCs/>
              <w:noProof/>
            </w:rPr>
            <w:fldChar w:fldCharType="end"/>
          </w:r>
        </w:p>
      </w:sdtContent>
    </w:sdt>
    <w:p w14:paraId="2961009D" w14:textId="5F33F75B" w:rsidR="009D2E91" w:rsidRDefault="00442FD7">
      <w:pPr>
        <w:rPr>
          <w:b/>
        </w:rPr>
      </w:pPr>
      <w:r>
        <w:rPr>
          <w:b/>
        </w:rPr>
        <w:br w:type="page"/>
      </w:r>
    </w:p>
    <w:p w14:paraId="096144B4" w14:textId="77777777" w:rsidR="006B644D" w:rsidRPr="004D339D" w:rsidRDefault="006B644D" w:rsidP="00442FD7">
      <w:pPr>
        <w:pStyle w:val="Heading1"/>
        <w:numPr>
          <w:ilvl w:val="0"/>
          <w:numId w:val="25"/>
        </w:numPr>
        <w:rPr>
          <w:color w:val="000000" w:themeColor="text1"/>
        </w:rPr>
      </w:pPr>
      <w:bookmarkStart w:id="0" w:name="_Toc96511351"/>
      <w:r w:rsidRPr="004D339D">
        <w:rPr>
          <w:color w:val="000000" w:themeColor="text1"/>
        </w:rPr>
        <w:lastRenderedPageBreak/>
        <w:t>Introduction</w:t>
      </w:r>
      <w:bookmarkEnd w:id="0"/>
    </w:p>
    <w:p w14:paraId="739573AC" w14:textId="53F4829E" w:rsidR="006B644D" w:rsidRPr="006B644D" w:rsidRDefault="006B644D">
      <w:r>
        <w:t>The purpose of the Air Quality Action Plan (AQAP) is to set out the evidence for air pollution in the district so to design</w:t>
      </w:r>
      <w:r w:rsidR="00F83E30">
        <w:t xml:space="preserve"> and publish</w:t>
      </w:r>
      <w:r>
        <w:t xml:space="preserve"> proportionate and targeted actions aimed at tackling air pollution. In Chichester district </w:t>
      </w:r>
      <w:r w:rsidR="00EA0D1F">
        <w:t xml:space="preserve">we have declared four Air Quality Management Areas and the evidence and response is separately described in the pages that follow. The document is informed by discussions with our key partners. As </w:t>
      </w:r>
      <w:r w:rsidR="009B082D">
        <w:t xml:space="preserve">the source of </w:t>
      </w:r>
      <w:r w:rsidR="00EA0D1F">
        <w:t xml:space="preserve">local air pollution in Chichester district </w:t>
      </w:r>
      <w:r w:rsidR="009B082D">
        <w:t>is</w:t>
      </w:r>
      <w:r w:rsidR="00EA0D1F">
        <w:t xml:space="preserve"> traffic then our Highways colleagues at West Sussex County Council (as the local Highway Authority) and </w:t>
      </w:r>
      <w:r w:rsidR="00AA4D03">
        <w:t xml:space="preserve">National </w:t>
      </w:r>
      <w:r w:rsidR="00EA0D1F">
        <w:t xml:space="preserve">Highways </w:t>
      </w:r>
      <w:r w:rsidR="009B082D">
        <w:t xml:space="preserve">are key partners. </w:t>
      </w:r>
    </w:p>
    <w:p w14:paraId="478375DC" w14:textId="77777777" w:rsidR="006B644D" w:rsidRDefault="006B644D">
      <w:r>
        <w:t>Whilst the Council cannot significantly affect air quality at a macro level, its actions, priorities and leadership can make a difference to local residents and businesses and thereby air quality. It can access funds, lobby for investment and influence others to work towards cost-effective outcomes; use its own land and estate in ways that encourage ‘green’ and healthier behaviour and signal to the local community the sort of activity that it wants to encourage through investment, leadership and publicity.</w:t>
      </w:r>
    </w:p>
    <w:p w14:paraId="194D53D0" w14:textId="77777777" w:rsidR="00F83E30" w:rsidRDefault="00F83E30" w:rsidP="00442FD7">
      <w:pPr>
        <w:spacing w:after="0"/>
      </w:pPr>
      <w:r>
        <w:t>This plan will be reviewed every five years.</w:t>
      </w:r>
    </w:p>
    <w:p w14:paraId="469512B3" w14:textId="77777777" w:rsidR="009B082D" w:rsidRPr="004D339D" w:rsidRDefault="009B082D" w:rsidP="00442FD7">
      <w:pPr>
        <w:pStyle w:val="Heading1"/>
        <w:numPr>
          <w:ilvl w:val="0"/>
          <w:numId w:val="25"/>
        </w:numPr>
        <w:rPr>
          <w:color w:val="000000" w:themeColor="text1"/>
        </w:rPr>
      </w:pPr>
      <w:bookmarkStart w:id="1" w:name="_Toc96511352"/>
      <w:r w:rsidRPr="004D339D">
        <w:rPr>
          <w:color w:val="000000" w:themeColor="text1"/>
        </w:rPr>
        <w:t>Review and Assessment of air quality</w:t>
      </w:r>
      <w:bookmarkEnd w:id="1"/>
    </w:p>
    <w:p w14:paraId="5FFB4972" w14:textId="141219CD" w:rsidR="009B082D" w:rsidRDefault="009B023F">
      <w:r>
        <w:t>Part IV of the Environment Act 1995 requires local authorities to review and assess air quality on a regular basis. Pollution levels within the local authority area are assessed against air quality standards and objectives</w:t>
      </w:r>
      <w:r w:rsidR="00F264B1">
        <w:rPr>
          <w:rStyle w:val="FootnoteReference"/>
        </w:rPr>
        <w:footnoteReference w:id="2"/>
      </w:r>
      <w:r w:rsidR="003A7245">
        <w:t xml:space="preserve"> (see Table </w:t>
      </w:r>
      <w:r w:rsidR="00D72DD7">
        <w:t>1</w:t>
      </w:r>
      <w:r w:rsidR="003A7245">
        <w:t xml:space="preserve"> below)</w:t>
      </w:r>
      <w:r>
        <w:t xml:space="preserve"> which are prescribed in national legislation for the protection of human health and the environment. The air quality standards are designed to protect those most vulnerable to the effects of air pollution and CDC reports annually to DEFRA in its statutorily required Annual Status Report</w:t>
      </w:r>
      <w:r>
        <w:rPr>
          <w:rStyle w:val="FootnoteReference"/>
        </w:rPr>
        <w:footnoteReference w:id="3"/>
      </w:r>
      <w:r>
        <w:t xml:space="preserve">. </w:t>
      </w:r>
    </w:p>
    <w:tbl>
      <w:tblPr>
        <w:tblStyle w:val="TableGrid"/>
        <w:tblpPr w:leftFromText="180" w:rightFromText="180" w:vertAnchor="text" w:horzAnchor="margin" w:tblpY="301"/>
        <w:tblW w:w="0" w:type="auto"/>
        <w:tblLook w:val="04A0" w:firstRow="1" w:lastRow="0" w:firstColumn="1" w:lastColumn="0" w:noHBand="0" w:noVBand="1"/>
      </w:tblPr>
      <w:tblGrid>
        <w:gridCol w:w="9016"/>
      </w:tblGrid>
      <w:tr w:rsidR="00BB3353" w14:paraId="0BB1596A" w14:textId="77777777" w:rsidTr="00BB3353">
        <w:tc>
          <w:tcPr>
            <w:tcW w:w="9016" w:type="dxa"/>
          </w:tcPr>
          <w:p w14:paraId="40B8C6D9" w14:textId="77777777" w:rsidR="00BB3353" w:rsidRPr="003A7245" w:rsidRDefault="00BB3353" w:rsidP="00BB3353">
            <w:pPr>
              <w:tabs>
                <w:tab w:val="left" w:pos="1567"/>
              </w:tabs>
              <w:rPr>
                <w:b/>
              </w:rPr>
            </w:pPr>
            <w:r w:rsidRPr="003A7245">
              <w:rPr>
                <w:b/>
              </w:rPr>
              <w:t>National Air Quality Objectives</w:t>
            </w:r>
            <w:r>
              <w:rPr>
                <w:rStyle w:val="FootnoteReference"/>
                <w:b/>
              </w:rPr>
              <w:footnoteReference w:id="4"/>
            </w:r>
            <w:r w:rsidRPr="003A7245">
              <w:rPr>
                <w:b/>
              </w:rPr>
              <w:t>:</w:t>
            </w:r>
          </w:p>
        </w:tc>
      </w:tr>
      <w:tr w:rsidR="00BB3353" w14:paraId="34BB0D56" w14:textId="77777777" w:rsidTr="00BB3353">
        <w:tc>
          <w:tcPr>
            <w:tcW w:w="9016" w:type="dxa"/>
          </w:tcPr>
          <w:p w14:paraId="2DBFDE2C" w14:textId="77777777" w:rsidR="00BB3353" w:rsidRPr="003A7245" w:rsidRDefault="00BB3353" w:rsidP="00BB3353">
            <w:pPr>
              <w:tabs>
                <w:tab w:val="left" w:pos="1567"/>
              </w:tabs>
              <w:rPr>
                <w:b/>
              </w:rPr>
            </w:pPr>
          </w:p>
        </w:tc>
      </w:tr>
      <w:tr w:rsidR="00BB3353" w14:paraId="743C1FD9" w14:textId="77777777" w:rsidTr="00BB3353">
        <w:tc>
          <w:tcPr>
            <w:tcW w:w="9016" w:type="dxa"/>
          </w:tcPr>
          <w:p w14:paraId="06FB5D6F" w14:textId="77777777" w:rsidR="00BB3353" w:rsidRDefault="00BB3353" w:rsidP="00081214">
            <w:pPr>
              <w:tabs>
                <w:tab w:val="left" w:pos="1567"/>
              </w:tabs>
              <w:ind w:left="-170"/>
            </w:pPr>
            <w:r>
              <w:rPr>
                <w:noProof/>
                <w:lang w:eastAsia="en-GB"/>
              </w:rPr>
              <w:drawing>
                <wp:inline distT="0" distB="0" distL="0" distR="0" wp14:anchorId="3A23CB3E" wp14:editId="1D0B2FCF">
                  <wp:extent cx="5826642" cy="546735"/>
                  <wp:effectExtent l="0" t="0" r="3175" b="5715"/>
                  <wp:docPr id="19" name="Picture 19" descr="National air quality table titles: concentration measured as 10; Date to be achieved by and maintained thereafter; european obligations; date to be achieved by and maintained there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National air quality table titles: concentration measured as 10; Date to be achieved by and maintained thereafter; european obligations; date to be achieved by and maintained thereafter"/>
                          <pic:cNvPicPr/>
                        </pic:nvPicPr>
                        <pic:blipFill>
                          <a:blip r:embed="rId15"/>
                          <a:stretch>
                            <a:fillRect/>
                          </a:stretch>
                        </pic:blipFill>
                        <pic:spPr>
                          <a:xfrm>
                            <a:off x="0" y="0"/>
                            <a:ext cx="5828580" cy="546917"/>
                          </a:xfrm>
                          <a:prstGeom prst="rect">
                            <a:avLst/>
                          </a:prstGeom>
                        </pic:spPr>
                      </pic:pic>
                    </a:graphicData>
                  </a:graphic>
                </wp:inline>
              </w:drawing>
            </w:r>
          </w:p>
        </w:tc>
      </w:tr>
      <w:tr w:rsidR="00BB3353" w14:paraId="7F92DF4C" w14:textId="77777777" w:rsidTr="00BB3353">
        <w:tc>
          <w:tcPr>
            <w:tcW w:w="9016" w:type="dxa"/>
          </w:tcPr>
          <w:p w14:paraId="419EAE56" w14:textId="77777777" w:rsidR="00BB3353" w:rsidRPr="00E73C65" w:rsidRDefault="00BB3353" w:rsidP="00BB3353">
            <w:pPr>
              <w:jc w:val="center"/>
              <w:rPr>
                <w:b/>
              </w:rPr>
            </w:pPr>
            <w:r w:rsidRPr="00E73C65">
              <w:rPr>
                <w:b/>
              </w:rPr>
              <w:t>Nitrogen Dioxide (NO</w:t>
            </w:r>
            <w:r w:rsidRPr="00E73C65">
              <w:rPr>
                <w:b/>
                <w:vertAlign w:val="subscript"/>
              </w:rPr>
              <w:t>2</w:t>
            </w:r>
            <w:r w:rsidRPr="00E73C65">
              <w:rPr>
                <w:b/>
              </w:rPr>
              <w:t>)</w:t>
            </w:r>
          </w:p>
        </w:tc>
      </w:tr>
      <w:tr w:rsidR="00BB3353" w14:paraId="0AB9B661" w14:textId="77777777" w:rsidTr="00BB3353">
        <w:tc>
          <w:tcPr>
            <w:tcW w:w="9016" w:type="dxa"/>
          </w:tcPr>
          <w:p w14:paraId="408D6071" w14:textId="77777777" w:rsidR="00BB3353" w:rsidRDefault="00BB3353" w:rsidP="00081214">
            <w:pPr>
              <w:ind w:left="-170"/>
            </w:pPr>
            <w:r>
              <w:rPr>
                <w:noProof/>
                <w:lang w:eastAsia="en-GB"/>
              </w:rPr>
              <w:drawing>
                <wp:inline distT="0" distB="0" distL="0" distR="0" wp14:anchorId="434EFA45" wp14:editId="59DAD670">
                  <wp:extent cx="5847907" cy="611505"/>
                  <wp:effectExtent l="0" t="0" r="635" b="0"/>
                  <wp:docPr id="23" name="Picture 23" descr="Nitrogen di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Nitrogen dioxide"/>
                          <pic:cNvPicPr/>
                        </pic:nvPicPr>
                        <pic:blipFill>
                          <a:blip r:embed="rId16"/>
                          <a:stretch>
                            <a:fillRect/>
                          </a:stretch>
                        </pic:blipFill>
                        <pic:spPr>
                          <a:xfrm>
                            <a:off x="0" y="0"/>
                            <a:ext cx="5850030" cy="611727"/>
                          </a:xfrm>
                          <a:prstGeom prst="rect">
                            <a:avLst/>
                          </a:prstGeom>
                        </pic:spPr>
                      </pic:pic>
                    </a:graphicData>
                  </a:graphic>
                </wp:inline>
              </w:drawing>
            </w:r>
          </w:p>
        </w:tc>
      </w:tr>
      <w:tr w:rsidR="00BB3353" w14:paraId="52E8F035" w14:textId="77777777" w:rsidTr="00BB3353">
        <w:tc>
          <w:tcPr>
            <w:tcW w:w="9016" w:type="dxa"/>
          </w:tcPr>
          <w:p w14:paraId="11966D39" w14:textId="77777777" w:rsidR="00BB3353" w:rsidRPr="00E73C65" w:rsidRDefault="00BB3353" w:rsidP="00BB3353">
            <w:pPr>
              <w:jc w:val="center"/>
              <w:rPr>
                <w:b/>
              </w:rPr>
            </w:pPr>
            <w:r w:rsidRPr="00E73C65">
              <w:rPr>
                <w:b/>
              </w:rPr>
              <w:t>Particulates (PM</w:t>
            </w:r>
            <w:r w:rsidRPr="00E73C65">
              <w:rPr>
                <w:b/>
                <w:vertAlign w:val="subscript"/>
              </w:rPr>
              <w:t>10</w:t>
            </w:r>
            <w:r w:rsidRPr="00E73C65">
              <w:rPr>
                <w:b/>
              </w:rPr>
              <w:t>)</w:t>
            </w:r>
          </w:p>
        </w:tc>
      </w:tr>
      <w:tr w:rsidR="00BB3353" w14:paraId="2C725B42" w14:textId="77777777" w:rsidTr="00BB3353">
        <w:tc>
          <w:tcPr>
            <w:tcW w:w="9016" w:type="dxa"/>
          </w:tcPr>
          <w:p w14:paraId="4D540C8D" w14:textId="77777777" w:rsidR="00BB3353" w:rsidRDefault="00BB3353" w:rsidP="00081214">
            <w:pPr>
              <w:ind w:left="-170"/>
              <w:rPr>
                <w:noProof/>
                <w:lang w:eastAsia="en-GB"/>
              </w:rPr>
            </w:pPr>
            <w:r>
              <w:rPr>
                <w:noProof/>
                <w:lang w:eastAsia="en-GB"/>
              </w:rPr>
              <w:drawing>
                <wp:inline distT="0" distB="0" distL="0" distR="0" wp14:anchorId="0E64F195" wp14:editId="2392B3B6">
                  <wp:extent cx="5869172" cy="645160"/>
                  <wp:effectExtent l="0" t="0" r="0" b="2540"/>
                  <wp:docPr id="24" name="Picture 24" descr="Particul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articulates "/>
                          <pic:cNvPicPr/>
                        </pic:nvPicPr>
                        <pic:blipFill>
                          <a:blip r:embed="rId17"/>
                          <a:stretch>
                            <a:fillRect/>
                          </a:stretch>
                        </pic:blipFill>
                        <pic:spPr>
                          <a:xfrm>
                            <a:off x="0" y="0"/>
                            <a:ext cx="5874156" cy="645708"/>
                          </a:xfrm>
                          <a:prstGeom prst="rect">
                            <a:avLst/>
                          </a:prstGeom>
                        </pic:spPr>
                      </pic:pic>
                    </a:graphicData>
                  </a:graphic>
                </wp:inline>
              </w:drawing>
            </w:r>
          </w:p>
        </w:tc>
      </w:tr>
    </w:tbl>
    <w:p w14:paraId="1574987B" w14:textId="7C90CB43" w:rsidR="00BB3353" w:rsidRDefault="00BB3353">
      <w:r w:rsidRPr="005F4241">
        <w:rPr>
          <w:bCs/>
        </w:rPr>
        <w:t xml:space="preserve">Table </w:t>
      </w:r>
      <w:r w:rsidRPr="005F4241">
        <w:rPr>
          <w:bCs/>
        </w:rPr>
        <w:fldChar w:fldCharType="begin"/>
      </w:r>
      <w:r w:rsidRPr="005F4241">
        <w:rPr>
          <w:bCs/>
        </w:rPr>
        <w:instrText xml:space="preserve"> SEQ Table \* ARABIC </w:instrText>
      </w:r>
      <w:r w:rsidRPr="005F4241">
        <w:rPr>
          <w:bCs/>
        </w:rPr>
        <w:fldChar w:fldCharType="separate"/>
      </w:r>
      <w:r>
        <w:rPr>
          <w:bCs/>
          <w:noProof/>
        </w:rPr>
        <w:t>1</w:t>
      </w:r>
      <w:r w:rsidRPr="005F4241">
        <w:rPr>
          <w:bCs/>
        </w:rPr>
        <w:fldChar w:fldCharType="end"/>
      </w:r>
      <w:r w:rsidRPr="005F4241">
        <w:rPr>
          <w:b/>
          <w:bCs/>
        </w:rPr>
        <w:t>: The UK National Air Quality Objectives for the protection of human health</w:t>
      </w:r>
      <w:r>
        <w:rPr>
          <w:b/>
          <w:bCs/>
        </w:rPr>
        <w:t>:</w:t>
      </w:r>
    </w:p>
    <w:p w14:paraId="682C1455" w14:textId="77777777" w:rsidR="00BB3353" w:rsidRDefault="00BB3353"/>
    <w:p w14:paraId="463D943F" w14:textId="7F70EE41" w:rsidR="005F4241" w:rsidRPr="005F4241" w:rsidRDefault="005F4241" w:rsidP="00442FD7">
      <w:pPr>
        <w:pStyle w:val="Caption"/>
        <w:keepNext/>
        <w:spacing w:after="0"/>
        <w:rPr>
          <w:b w:val="0"/>
          <w:bCs w:val="0"/>
          <w:color w:val="auto"/>
          <w:sz w:val="22"/>
          <w:szCs w:val="22"/>
        </w:rPr>
      </w:pPr>
    </w:p>
    <w:p w14:paraId="199FCF8D" w14:textId="6496BDB5" w:rsidR="00E73C65" w:rsidRDefault="00BB3353">
      <w:r>
        <w:t>There is no air quality standard within LAQM for PM</w:t>
      </w:r>
      <w:r w:rsidRPr="00C8232C">
        <w:rPr>
          <w:vertAlign w:val="subscript"/>
        </w:rPr>
        <w:t>2.5</w:t>
      </w:r>
      <w:r>
        <w:t>, instead the Objective for this pollutant states that (authorities should) ‘work towards reducing emissions/concentrations of fine particulate matter</w:t>
      </w:r>
      <w:r w:rsidR="000F474F">
        <w:t>’</w:t>
      </w:r>
      <w:r>
        <w:t xml:space="preserve"> (PM</w:t>
      </w:r>
      <w:r w:rsidRPr="00C8232C">
        <w:rPr>
          <w:vertAlign w:val="subscript"/>
        </w:rPr>
        <w:t>2.5</w:t>
      </w:r>
      <w:r>
        <w:t>).</w:t>
      </w:r>
    </w:p>
    <w:p w14:paraId="22EA0F1E" w14:textId="77777777" w:rsidR="009B023F" w:rsidRPr="004D339D" w:rsidRDefault="009B023F" w:rsidP="00442FD7">
      <w:pPr>
        <w:pStyle w:val="Heading1"/>
        <w:numPr>
          <w:ilvl w:val="0"/>
          <w:numId w:val="25"/>
        </w:numPr>
        <w:rPr>
          <w:color w:val="000000" w:themeColor="text1"/>
        </w:rPr>
      </w:pPr>
      <w:bookmarkStart w:id="2" w:name="_Toc96511353"/>
      <w:r w:rsidRPr="004D339D">
        <w:rPr>
          <w:color w:val="000000" w:themeColor="text1"/>
        </w:rPr>
        <w:t>The National context</w:t>
      </w:r>
      <w:bookmarkEnd w:id="2"/>
    </w:p>
    <w:p w14:paraId="0852C2E6" w14:textId="7114EFA2" w:rsidR="00F264B1" w:rsidRDefault="00C7561A">
      <w:r>
        <w:t xml:space="preserve">Since the adoption of CDC’s 2015 AQAP the public profile of air quality has grown very significantly. The metrics for the impact of air quality on human health have become ever more detailed so illuminating a wider understanding of the importance of good air quality. Air quality </w:t>
      </w:r>
      <w:r w:rsidR="00F264B1">
        <w:t>has</w:t>
      </w:r>
      <w:r>
        <w:t xml:space="preserve"> become commonplace </w:t>
      </w:r>
      <w:r w:rsidR="00F264B1">
        <w:t>on the</w:t>
      </w:r>
      <w:r>
        <w:t xml:space="preserve"> front-page </w:t>
      </w:r>
      <w:r w:rsidR="00F264B1">
        <w:t>of</w:t>
      </w:r>
      <w:r>
        <w:t xml:space="preserve"> national newspapers, web-sites and social media feeds. </w:t>
      </w:r>
      <w:r w:rsidR="00C70558">
        <w:t>The UK government states that ‘air pollution is the top threat to public health after cancer, heart disease and obesity’</w:t>
      </w:r>
      <w:r w:rsidR="00C70558">
        <w:rPr>
          <w:rStyle w:val="FootnoteReference"/>
        </w:rPr>
        <w:footnoteReference w:id="5"/>
      </w:r>
      <w:r w:rsidR="00C70558">
        <w:t xml:space="preserve"> with associated costs to our health of £1.7Bn/year at 2020 rising to £5.3Bn from 2030.</w:t>
      </w:r>
      <w:r w:rsidR="00F264B1">
        <w:t>’</w:t>
      </w:r>
      <w:r w:rsidR="00987CF6">
        <w:t xml:space="preserve"> Poor air quality is estimated to reduce life expectancy by an average of six months in the UK, is associated with lung disease, heart attacks and there is increasing evidence for association with cognitive decline and reduced lung-volume for children brought</w:t>
      </w:r>
      <w:r w:rsidR="00BB3353">
        <w:t>-</w:t>
      </w:r>
      <w:r w:rsidR="00987CF6">
        <w:t>up in areas of poor air quality.</w:t>
      </w:r>
    </w:p>
    <w:p w14:paraId="6A0BB297" w14:textId="77777777" w:rsidR="00C7561A" w:rsidRDefault="00C7561A">
      <w:r>
        <w:t xml:space="preserve">The UK government </w:t>
      </w:r>
      <w:r w:rsidR="00C70558">
        <w:t>published a Clean Air Strategy</w:t>
      </w:r>
      <w:r w:rsidR="00F545E6">
        <w:t xml:space="preserve"> (CAS)</w:t>
      </w:r>
      <w:r w:rsidR="00C70558">
        <w:t xml:space="preserve"> in 2019 which proposes tackling pollution from a wide range of sources including transport, agriculture, industry, domestic solid-fuel burning and domestic cleaning products.</w:t>
      </w:r>
      <w:r w:rsidR="00F545E6">
        <w:t xml:space="preserve"> As some of the biggest sources of pollution have been tackled the contribution of some of the smaller sources ha</w:t>
      </w:r>
      <w:r w:rsidR="00F264B1">
        <w:t>s</w:t>
      </w:r>
      <w:r w:rsidR="00F545E6">
        <w:t xml:space="preserve"> become </w:t>
      </w:r>
      <w:r w:rsidR="00F264B1">
        <w:t xml:space="preserve">relatively </w:t>
      </w:r>
      <w:r w:rsidR="00F545E6">
        <w:t xml:space="preserve">more significant </w:t>
      </w:r>
      <w:r w:rsidR="00F264B1">
        <w:t>so requiring</w:t>
      </w:r>
      <w:r w:rsidR="00F545E6">
        <w:t xml:space="preserve"> new action.</w:t>
      </w:r>
      <w:r w:rsidR="00C70558">
        <w:t xml:space="preserve"> The opportunity here is to tackle pollution from many sources to make our air healthier to breathe, protect nature and boost the economy.</w:t>
      </w:r>
    </w:p>
    <w:p w14:paraId="5DCF3E2B" w14:textId="77777777" w:rsidR="00C70558" w:rsidRDefault="00F545E6">
      <w:r>
        <w:t>Across the UK 242 local authorities have one or more AQMA</w:t>
      </w:r>
      <w:r w:rsidR="00A81DF1">
        <w:t>(s)</w:t>
      </w:r>
      <w:r>
        <w:t>. Local government is responsible for many relevant policy areas including health, housing, transport, education, local economics, greenspace and quality of life. The CAS states ‘in summary the current legislative framework has not driven sufficient action at a local level’ and seeks through revised legislation to make the statutory basis for tackling air pollution at a local level more effective.</w:t>
      </w:r>
      <w:r w:rsidR="009309BB">
        <w:t xml:space="preserve"> This greater effectiveness is evolving</w:t>
      </w:r>
      <w:r w:rsidR="00A81DF1">
        <w:rPr>
          <w:rStyle w:val="FootnoteReference"/>
        </w:rPr>
        <w:footnoteReference w:id="6"/>
      </w:r>
      <w:r w:rsidR="009309BB">
        <w:t xml:space="preserve"> as this document moves towards adoption. </w:t>
      </w:r>
    </w:p>
    <w:p w14:paraId="7290E65D" w14:textId="2D85A831" w:rsidR="00B6602E" w:rsidRDefault="00B6602E">
      <w:r>
        <w:t xml:space="preserve">The </w:t>
      </w:r>
      <w:r w:rsidR="001C6FB3">
        <w:t>UK has a national emission reduction commitment for PM</w:t>
      </w:r>
      <w:r w:rsidR="001C6FB3" w:rsidRPr="00A81DF1">
        <w:rPr>
          <w:vertAlign w:val="subscript"/>
        </w:rPr>
        <w:t>2.5</w:t>
      </w:r>
      <w:r w:rsidR="001C6FB3">
        <w:t xml:space="preserve">. The </w:t>
      </w:r>
      <w:r w:rsidR="00741034">
        <w:t>Local Air Quality Management (</w:t>
      </w:r>
      <w:r w:rsidR="001C6FB3">
        <w:t>LAQM</w:t>
      </w:r>
      <w:r w:rsidR="00741034">
        <w:t>)</w:t>
      </w:r>
      <w:r w:rsidR="001C6FB3">
        <w:t xml:space="preserve"> Policy Guidance suggests that ‘Local Authorities are expected to work towards reducing emissions and concentrations of PM</w:t>
      </w:r>
      <w:r w:rsidR="001C6FB3" w:rsidRPr="00A81DF1">
        <w:rPr>
          <w:vertAlign w:val="subscript"/>
        </w:rPr>
        <w:t>2.5</w:t>
      </w:r>
      <w:r w:rsidR="001C6FB3">
        <w:t xml:space="preserve"> in their area as practicable.’ The Guidance is not specific about LA’s involvement in this regard only that the LA should work with Public Health to define this role. Nevertheless there is growing national and local interest in this pollutant and so this document seeks to respond to that ‘interest’ </w:t>
      </w:r>
      <w:r w:rsidR="00E63093">
        <w:t>in as far as is practicable.</w:t>
      </w:r>
      <w:r w:rsidR="00420F55">
        <w:t xml:space="preserve"> Many actions that seek to reduce NO</w:t>
      </w:r>
      <w:r w:rsidR="00420F55" w:rsidRPr="0078342A">
        <w:rPr>
          <w:vertAlign w:val="subscript"/>
        </w:rPr>
        <w:t>2</w:t>
      </w:r>
      <w:r w:rsidR="00420F55">
        <w:t xml:space="preserve"> (the emphasis of this Plan) will also help to reduce</w:t>
      </w:r>
      <w:r w:rsidR="00741034">
        <w:t xml:space="preserve"> particulate matter (</w:t>
      </w:r>
      <w:r w:rsidR="00420F55">
        <w:t>PM</w:t>
      </w:r>
      <w:r w:rsidR="00741034">
        <w:t>)</w:t>
      </w:r>
      <w:r w:rsidR="00420F55">
        <w:t xml:space="preserve"> emissions too. The Policy </w:t>
      </w:r>
      <w:r w:rsidR="00420F55">
        <w:lastRenderedPageBreak/>
        <w:t>guidance does however suggest that the authorities should seek ‘to move towards a specific objective in line with the annual average EU</w:t>
      </w:r>
      <w:r w:rsidR="0078342A">
        <w:rPr>
          <w:rStyle w:val="FootnoteReference"/>
        </w:rPr>
        <w:footnoteReference w:id="7"/>
      </w:r>
      <w:r w:rsidR="00420F55">
        <w:t xml:space="preserve"> limit value for PM</w:t>
      </w:r>
      <w:r w:rsidR="00420F55" w:rsidRPr="00A81DF1">
        <w:rPr>
          <w:vertAlign w:val="subscript"/>
        </w:rPr>
        <w:t>2.5</w:t>
      </w:r>
      <w:r w:rsidR="00420F55">
        <w:t xml:space="preserve"> of 25µgm</w:t>
      </w:r>
      <w:r w:rsidR="00420F55" w:rsidRPr="00420F55">
        <w:rPr>
          <w:vertAlign w:val="superscript"/>
        </w:rPr>
        <w:t>-3</w:t>
      </w:r>
      <w:r w:rsidR="004A43B0">
        <w:rPr>
          <w:vertAlign w:val="superscript"/>
        </w:rPr>
        <w:t xml:space="preserve">  </w:t>
      </w:r>
      <w:r w:rsidR="004A43B0">
        <w:rPr>
          <w:rStyle w:val="FootnoteReference"/>
        </w:rPr>
        <w:footnoteReference w:id="8"/>
      </w:r>
      <w:r w:rsidR="00420F55">
        <w:t>.</w:t>
      </w:r>
    </w:p>
    <w:p w14:paraId="3BE26975" w14:textId="14504A8B" w:rsidR="009309BB" w:rsidRDefault="009309BB" w:rsidP="00442FD7">
      <w:pPr>
        <w:spacing w:after="0"/>
      </w:pPr>
      <w:r>
        <w:t>The greater national context as this document is being written might be described as one of uncertainty.</w:t>
      </w:r>
      <w:r w:rsidR="00741034">
        <w:t xml:space="preserve"> The impact of the UK leaving the EU and the impact of Covid on economic activity are yet to be fully understood.</w:t>
      </w:r>
    </w:p>
    <w:p w14:paraId="77F48817" w14:textId="4B3A12B6" w:rsidR="006D09EC" w:rsidRPr="004D339D" w:rsidRDefault="006D09EC" w:rsidP="00442FD7">
      <w:pPr>
        <w:pStyle w:val="Heading1"/>
        <w:numPr>
          <w:ilvl w:val="0"/>
          <w:numId w:val="25"/>
        </w:numPr>
        <w:rPr>
          <w:color w:val="000000" w:themeColor="text1"/>
        </w:rPr>
      </w:pPr>
      <w:bookmarkStart w:id="3" w:name="_Toc96511354"/>
      <w:r w:rsidRPr="004D339D">
        <w:rPr>
          <w:color w:val="000000" w:themeColor="text1"/>
        </w:rPr>
        <w:t xml:space="preserve">The Environment </w:t>
      </w:r>
      <w:r w:rsidR="000F474F" w:rsidRPr="004D339D">
        <w:rPr>
          <w:color w:val="000000" w:themeColor="text1"/>
        </w:rPr>
        <w:t>Act</w:t>
      </w:r>
      <w:bookmarkEnd w:id="3"/>
    </w:p>
    <w:p w14:paraId="7B15CB58" w14:textId="4EE92363" w:rsidR="006D09EC" w:rsidRDefault="006D09EC">
      <w:r>
        <w:t xml:space="preserve">The Environment </w:t>
      </w:r>
      <w:r w:rsidR="000F474F">
        <w:t xml:space="preserve">Act </w:t>
      </w:r>
      <w:r>
        <w:t>(E</w:t>
      </w:r>
      <w:r w:rsidR="000F474F">
        <w:t>A</w:t>
      </w:r>
      <w:r>
        <w:t xml:space="preserve">) delivers key aspects of the Clean Air Strategy. As this AQAP was being written the detail of how the </w:t>
      </w:r>
      <w:r w:rsidR="000F474F">
        <w:t>EA</w:t>
      </w:r>
      <w:r>
        <w:t>, as it becomes law (an Act), will impact on Local Air Quality Management (LAQM) was yet to be clear. Nevertheless the E</w:t>
      </w:r>
      <w:r w:rsidR="000F474F">
        <w:t>A</w:t>
      </w:r>
      <w:r>
        <w:t xml:space="preserve"> will, we understand, set a legally binding target for PM</w:t>
      </w:r>
      <w:r w:rsidRPr="004A43B0">
        <w:rPr>
          <w:vertAlign w:val="subscript"/>
        </w:rPr>
        <w:t>2.5</w:t>
      </w:r>
      <w:r>
        <w:t xml:space="preserve">, an additional long-term air quality target, </w:t>
      </w:r>
      <w:r w:rsidR="00817098">
        <w:t xml:space="preserve">which will </w:t>
      </w:r>
      <w:r>
        <w:t>require Councils and other relevant public bodies to work together to resolve air quality issues and make it easier for LAs to enforce restrictions on smoke emissions from domestic burning</w:t>
      </w:r>
      <w:r w:rsidR="00F056CA">
        <w:rPr>
          <w:rStyle w:val="FootnoteReference"/>
        </w:rPr>
        <w:footnoteReference w:id="9"/>
      </w:r>
      <w:r>
        <w:t xml:space="preserve">. The </w:t>
      </w:r>
      <w:r w:rsidR="00D72DD7">
        <w:t>E</w:t>
      </w:r>
      <w:r w:rsidR="000F474F">
        <w:t>A</w:t>
      </w:r>
      <w:r>
        <w:t xml:space="preserve"> also gives the government the power to make vehicle manufacturers recall vehicles if they do not comply with relevant environmental standards.</w:t>
      </w:r>
      <w:r w:rsidR="007A389A">
        <w:t xml:space="preserve"> The </w:t>
      </w:r>
      <w:r w:rsidR="00D72DD7">
        <w:t>E</w:t>
      </w:r>
      <w:r w:rsidR="00AA4D03">
        <w:t>A</w:t>
      </w:r>
      <w:r w:rsidR="007A389A">
        <w:t xml:space="preserve"> details wider measures which are important both nationally and for Chichester District but that nonetheless won’t be within the gift of LAs to deliver or enforce.</w:t>
      </w:r>
    </w:p>
    <w:p w14:paraId="0E26EBE1" w14:textId="77777777" w:rsidR="00DB6CD1" w:rsidRPr="004D339D" w:rsidRDefault="00DB6CD1" w:rsidP="00DB6CD1">
      <w:pPr>
        <w:pStyle w:val="Heading1"/>
        <w:numPr>
          <w:ilvl w:val="0"/>
          <w:numId w:val="25"/>
        </w:numPr>
        <w:rPr>
          <w:color w:val="000000" w:themeColor="text1"/>
        </w:rPr>
      </w:pPr>
      <w:bookmarkStart w:id="4" w:name="_Toc96511355"/>
      <w:r w:rsidRPr="004D339D">
        <w:rPr>
          <w:color w:val="000000" w:themeColor="text1"/>
        </w:rPr>
        <w:t>The Road to Zero</w:t>
      </w:r>
      <w:bookmarkEnd w:id="4"/>
    </w:p>
    <w:p w14:paraId="0633C26D" w14:textId="156B6734" w:rsidR="00DB6CD1" w:rsidRPr="00DB6CD1" w:rsidRDefault="00DB6CD1" w:rsidP="00DB6CD1">
      <w:r w:rsidRPr="00DB6CD1">
        <w:t>The Road to Zero Strategy outlines how the government will support the transition to zero emission road transport and reduce emissions from conventional vehicles during the transition. </w:t>
      </w:r>
      <w:r>
        <w:t>The Strategy is supported by funding, offered as grants, for the purchase of EVs and the installation of EV charge points. CDC has already access</w:t>
      </w:r>
      <w:r w:rsidR="007D3CD5">
        <w:t>ed</w:t>
      </w:r>
      <w:r>
        <w:t xml:space="preserve"> the Plugged in Car Grant </w:t>
      </w:r>
      <w:r w:rsidR="007D3CD5">
        <w:t xml:space="preserve">(£9K) </w:t>
      </w:r>
      <w:r>
        <w:t>to procure two Renault Zoe EV’s for Parking Services and</w:t>
      </w:r>
      <w:r w:rsidR="007D3CD5">
        <w:t xml:space="preserve"> the On-Street Residential Charge Point grant (£61K) for the </w:t>
      </w:r>
      <w:r>
        <w:t>eighteen EV charge points installed across the district. Since the publishing of the Strategy it has since brought it’s deadline to 2030 when all new cars in the UK will be EV (or zero-emission) only.</w:t>
      </w:r>
    </w:p>
    <w:p w14:paraId="0AB67F1B" w14:textId="77777777" w:rsidR="00BD3D77" w:rsidRPr="004D339D" w:rsidRDefault="00BD3D77" w:rsidP="00442FD7">
      <w:pPr>
        <w:pStyle w:val="Heading1"/>
        <w:numPr>
          <w:ilvl w:val="0"/>
          <w:numId w:val="25"/>
        </w:numPr>
        <w:rPr>
          <w:color w:val="000000" w:themeColor="text1"/>
        </w:rPr>
      </w:pPr>
      <w:bookmarkStart w:id="5" w:name="_Toc96511356"/>
      <w:r w:rsidRPr="004D339D">
        <w:rPr>
          <w:color w:val="000000" w:themeColor="text1"/>
        </w:rPr>
        <w:t>Public Health and air quality</w:t>
      </w:r>
      <w:bookmarkEnd w:id="5"/>
    </w:p>
    <w:p w14:paraId="1636E86E" w14:textId="70CDB642" w:rsidR="00BD3D77" w:rsidRDefault="00C47672" w:rsidP="00DB6CD1">
      <w:pPr>
        <w:spacing w:after="0"/>
      </w:pPr>
      <w:r>
        <w:t>Each year PHE publishes a Public Health Outcomes Framework</w:t>
      </w:r>
      <w:r>
        <w:rPr>
          <w:rStyle w:val="FootnoteReference"/>
        </w:rPr>
        <w:footnoteReference w:id="10"/>
      </w:r>
      <w:r>
        <w:t>. Chichester has</w:t>
      </w:r>
      <w:r w:rsidR="00F15934">
        <w:t xml:space="preserve"> one of</w:t>
      </w:r>
      <w:r>
        <w:t xml:space="preserve"> the lowest fraction of mortality (</w:t>
      </w:r>
      <w:r w:rsidR="00F15934">
        <w:t>4.5</w:t>
      </w:r>
      <w:r>
        <w:t>%</w:t>
      </w:r>
      <w:r w:rsidR="00BA645A">
        <w:t xml:space="preserve"> in </w:t>
      </w:r>
      <w:r w:rsidR="00F15934">
        <w:t>2019</w:t>
      </w:r>
      <w:r>
        <w:t>) attributable to particulate pollutio</w:t>
      </w:r>
      <w:r w:rsidR="00BA645A">
        <w:t>n</w:t>
      </w:r>
      <w:r w:rsidR="00D72DD7">
        <w:t xml:space="preserve"> (PM</w:t>
      </w:r>
      <w:r w:rsidR="00D72DD7" w:rsidRPr="00D72DD7">
        <w:rPr>
          <w:vertAlign w:val="subscript"/>
        </w:rPr>
        <w:t>2.5</w:t>
      </w:r>
      <w:r w:rsidR="00D72DD7">
        <w:t>)</w:t>
      </w:r>
      <w:r w:rsidR="00BA645A">
        <w:t xml:space="preserve"> of any area in the South East</w:t>
      </w:r>
      <w:r w:rsidR="00BA645A">
        <w:rPr>
          <w:rStyle w:val="FootnoteReference"/>
        </w:rPr>
        <w:footnoteReference w:id="11"/>
      </w:r>
      <w:r w:rsidR="00BA645A">
        <w:t>.</w:t>
      </w:r>
      <w:r w:rsidR="00CC63B1">
        <w:t xml:space="preserve"> Nevertheless </w:t>
      </w:r>
      <w:r w:rsidR="00F264B1">
        <w:t>particulates cause</w:t>
      </w:r>
      <w:r w:rsidR="001C6FB3">
        <w:t xml:space="preserve"> statistically</w:t>
      </w:r>
      <w:r w:rsidR="00F264B1">
        <w:t xml:space="preserve"> measurable harm to human health at any</w:t>
      </w:r>
      <w:r w:rsidR="00FD7AEB">
        <w:t xml:space="preserve"> airbo</w:t>
      </w:r>
      <w:r w:rsidR="00F264B1">
        <w:t>rne concentration</w:t>
      </w:r>
      <w:r w:rsidR="000B2FC6">
        <w:t xml:space="preserve">. Whilst the sources of such pollution </w:t>
      </w:r>
      <w:r w:rsidR="007D3CD5">
        <w:t xml:space="preserve">are </w:t>
      </w:r>
      <w:r w:rsidR="00D72DD7">
        <w:t>significantly</w:t>
      </w:r>
      <w:r w:rsidR="000B2FC6">
        <w:t xml:space="preserve"> related to non-local sources there a</w:t>
      </w:r>
      <w:r w:rsidR="00FD7AEB">
        <w:t>re</w:t>
      </w:r>
      <w:r w:rsidR="000B2FC6">
        <w:t xml:space="preserve"> still many actions that can be taken at a local level that will assist in reducing airborne concentrations.</w:t>
      </w:r>
    </w:p>
    <w:p w14:paraId="537F9196" w14:textId="77777777" w:rsidR="00757474" w:rsidRPr="004D339D" w:rsidRDefault="0007676B" w:rsidP="00442FD7">
      <w:pPr>
        <w:pStyle w:val="Heading1"/>
        <w:numPr>
          <w:ilvl w:val="0"/>
          <w:numId w:val="25"/>
        </w:numPr>
        <w:rPr>
          <w:color w:val="000000" w:themeColor="text1"/>
        </w:rPr>
      </w:pPr>
      <w:bookmarkStart w:id="6" w:name="_Toc96511357"/>
      <w:r w:rsidRPr="004D339D">
        <w:rPr>
          <w:color w:val="000000" w:themeColor="text1"/>
        </w:rPr>
        <w:lastRenderedPageBreak/>
        <w:t>Land-use p</w:t>
      </w:r>
      <w:r w:rsidR="00757474" w:rsidRPr="004D339D">
        <w:rPr>
          <w:color w:val="000000" w:themeColor="text1"/>
        </w:rPr>
        <w:t>lanning and air quality</w:t>
      </w:r>
      <w:bookmarkEnd w:id="6"/>
    </w:p>
    <w:p w14:paraId="60010839" w14:textId="67BF0974" w:rsidR="002E4E4F" w:rsidRDefault="002E4E4F">
      <w:r w:rsidRPr="002E4E4F">
        <w:t>The </w:t>
      </w:r>
      <w:r w:rsidR="00817098">
        <w:t xml:space="preserve">adopted </w:t>
      </w:r>
      <w:r w:rsidRPr="002E4E4F">
        <w:t xml:space="preserve">Local Plan provides the broad policy framework and a long-term strategy to </w:t>
      </w:r>
      <w:r>
        <w:t>m</w:t>
      </w:r>
      <w:r w:rsidRPr="002E4E4F">
        <w:t>anage development, protect the environment, deliver infrastructure and promote sustainable communities within Chichester District (excluding the area within the South Downs National Park) to 2029.</w:t>
      </w:r>
      <w:r>
        <w:t xml:space="preserve"> CDC is in the process of revising its Local Plan and the Environmental Protection team and Planning Policy team are working together to </w:t>
      </w:r>
      <w:r w:rsidR="00D72DD7">
        <w:t>ensure</w:t>
      </w:r>
      <w:r>
        <w:t xml:space="preserve"> ‘air quality’s’ policy presence within the revised Local Plan.</w:t>
      </w:r>
    </w:p>
    <w:p w14:paraId="22A55FA8" w14:textId="77777777" w:rsidR="002E4E4F" w:rsidRDefault="002E4E4F">
      <w:r>
        <w:t>Sussex-air has developed Planning Guidance, ‘Air Quality and Emissions Mitigation Guidance (2019)’</w:t>
      </w:r>
      <w:r>
        <w:rPr>
          <w:rStyle w:val="FootnoteReference"/>
        </w:rPr>
        <w:footnoteReference w:id="12"/>
      </w:r>
      <w:r>
        <w:t xml:space="preserve"> Officers are working to associate this document with the emerging Revised Local Plan so as to </w:t>
      </w:r>
      <w:r w:rsidR="0007676B">
        <w:t>provide a proportionate place for air quality in planning policy.</w:t>
      </w:r>
    </w:p>
    <w:p w14:paraId="3D53678E" w14:textId="12245BA3" w:rsidR="00A81DF1" w:rsidRDefault="00A81DF1">
      <w:r>
        <w:t xml:space="preserve">The Environmental Protection team is also working towards the </w:t>
      </w:r>
      <w:r w:rsidR="007D3CD5">
        <w:t>imple</w:t>
      </w:r>
      <w:r w:rsidR="00140F73">
        <w:t>men</w:t>
      </w:r>
      <w:r w:rsidR="007D3CD5">
        <w:t xml:space="preserve">tation </w:t>
      </w:r>
      <w:r>
        <w:t xml:space="preserve">of </w:t>
      </w:r>
      <w:r w:rsidR="000F474F">
        <w:t xml:space="preserve">the Chichester City </w:t>
      </w:r>
      <w:r>
        <w:t>Local Cycling and Walking Infrastructure Plan. Discussions with the policy planners are at an advanced stage and there is the intention to include route details, from the LCWIP, in the Revised Local Plan.</w:t>
      </w:r>
    </w:p>
    <w:p w14:paraId="43B87CEA" w14:textId="77777777" w:rsidR="00C164E3" w:rsidRPr="004D339D" w:rsidRDefault="00C164E3" w:rsidP="00C164E3">
      <w:pPr>
        <w:pStyle w:val="Heading1"/>
        <w:numPr>
          <w:ilvl w:val="0"/>
          <w:numId w:val="25"/>
        </w:numPr>
        <w:rPr>
          <w:color w:val="000000" w:themeColor="text1"/>
        </w:rPr>
      </w:pPr>
      <w:bookmarkStart w:id="7" w:name="_Toc96511358"/>
      <w:r w:rsidRPr="004D339D">
        <w:rPr>
          <w:color w:val="000000" w:themeColor="text1"/>
        </w:rPr>
        <w:t>Gear Change</w:t>
      </w:r>
      <w:bookmarkEnd w:id="7"/>
    </w:p>
    <w:p w14:paraId="179CFE0B" w14:textId="29C095C5" w:rsidR="007806A1" w:rsidRDefault="00C164E3" w:rsidP="00C164E3">
      <w:r>
        <w:t xml:space="preserve">In 2020 the DfT published Gear Change ‘A bold vision for cycling and walking’. Gear Change comes with </w:t>
      </w:r>
      <w:r w:rsidR="00817098">
        <w:t xml:space="preserve">a </w:t>
      </w:r>
      <w:r w:rsidR="007806A1">
        <w:t>£2Bn budget for cycling and walking over the life of the current parliament. The document celebrates the many co-benefits of walking and cycling with the aim that ‘Cycling and walking will be the natural first choice for many journeys with half of all journeys in towns and cities being cycled or walked by 2030</w:t>
      </w:r>
      <w:r w:rsidR="00F263D3">
        <w:t>’</w:t>
      </w:r>
      <w:r w:rsidR="007806A1">
        <w:t xml:space="preserve">. </w:t>
      </w:r>
    </w:p>
    <w:p w14:paraId="7CCAA816" w14:textId="77777777" w:rsidR="00C164E3" w:rsidRPr="00C164E3" w:rsidRDefault="007806A1" w:rsidP="00C164E3">
      <w:r>
        <w:t>Working in partnership with WSCC the Council’s LCWIP puts CDC in a good position to seek the benefit of the monies that come with Gear Change.</w:t>
      </w:r>
    </w:p>
    <w:p w14:paraId="059F47C3" w14:textId="77777777" w:rsidR="007F184E" w:rsidRPr="004D339D" w:rsidRDefault="007F184E" w:rsidP="00442FD7">
      <w:pPr>
        <w:pStyle w:val="Heading1"/>
        <w:numPr>
          <w:ilvl w:val="0"/>
          <w:numId w:val="25"/>
        </w:numPr>
        <w:rPr>
          <w:color w:val="000000" w:themeColor="text1"/>
        </w:rPr>
      </w:pPr>
      <w:bookmarkStart w:id="8" w:name="_Toc96511359"/>
      <w:r w:rsidRPr="004D339D">
        <w:rPr>
          <w:color w:val="000000" w:themeColor="text1"/>
        </w:rPr>
        <w:t>Strategic alignment</w:t>
      </w:r>
      <w:bookmarkEnd w:id="8"/>
    </w:p>
    <w:p w14:paraId="4A90A961" w14:textId="77777777" w:rsidR="007F184E" w:rsidRDefault="00035088" w:rsidP="009E2BBB">
      <w:pPr>
        <w:pStyle w:val="Heading2"/>
      </w:pPr>
      <w:bookmarkStart w:id="9" w:name="_Toc96511360"/>
      <w:r w:rsidRPr="00081214">
        <w:rPr>
          <w:color w:val="000000" w:themeColor="text1"/>
        </w:rPr>
        <w:t>West Sussex</w:t>
      </w:r>
      <w:r w:rsidR="007F184E" w:rsidRPr="00081214">
        <w:rPr>
          <w:color w:val="000000" w:themeColor="text1"/>
        </w:rPr>
        <w:t xml:space="preserve"> Transport Plan </w:t>
      </w:r>
      <w:r w:rsidRPr="00081214">
        <w:rPr>
          <w:color w:val="000000" w:themeColor="text1"/>
        </w:rPr>
        <w:t>review</w:t>
      </w:r>
      <w:bookmarkEnd w:id="9"/>
    </w:p>
    <w:p w14:paraId="2ABEC827" w14:textId="7709F4DB" w:rsidR="00035088" w:rsidRDefault="00F152C4">
      <w:r>
        <w:t xml:space="preserve">The existing </w:t>
      </w:r>
      <w:r w:rsidR="00E6374A">
        <w:t>West Sussex</w:t>
      </w:r>
      <w:r>
        <w:t xml:space="preserve"> Transport Plan</w:t>
      </w:r>
      <w:r w:rsidR="00035088">
        <w:t xml:space="preserve"> 2011-26</w:t>
      </w:r>
      <w:r w:rsidR="00E6374A">
        <w:t xml:space="preserve"> (LTP3</w:t>
      </w:r>
      <w:r w:rsidR="00035088">
        <w:t>)</w:t>
      </w:r>
      <w:r>
        <w:t xml:space="preserve"> is </w:t>
      </w:r>
      <w:r w:rsidR="00035088">
        <w:t>being reviewed to update WSCC’s strategic approach to investment in, and management of, the transport network</w:t>
      </w:r>
      <w:r>
        <w:t xml:space="preserve">. </w:t>
      </w:r>
      <w:r w:rsidR="00E6374A">
        <w:t>The draft Plan is</w:t>
      </w:r>
      <w:r w:rsidR="00035088">
        <w:t xml:space="preserve"> currently in public consultation </w:t>
      </w:r>
      <w:r w:rsidR="00140F73">
        <w:t xml:space="preserve">for </w:t>
      </w:r>
      <w:r w:rsidR="00035088">
        <w:t>adoption in 2022.</w:t>
      </w:r>
    </w:p>
    <w:p w14:paraId="741158CE" w14:textId="77777777" w:rsidR="00F152C4" w:rsidRPr="00F152C4" w:rsidRDefault="005509E7">
      <w:r>
        <w:t xml:space="preserve">The Council and Sussex-air will engage with WSCC to </w:t>
      </w:r>
      <w:r w:rsidR="00F263D3">
        <w:t>ensure</w:t>
      </w:r>
      <w:r>
        <w:t xml:space="preserve"> the presence of air quality related policy in that Plan. This will include sustainable transport</w:t>
      </w:r>
      <w:r w:rsidR="00035088">
        <w:t>, walking and cycling</w:t>
      </w:r>
      <w:r>
        <w:t xml:space="preserve"> a</w:t>
      </w:r>
      <w:r w:rsidR="00035088">
        <w:t>nd supporting the uptake of EVs.</w:t>
      </w:r>
    </w:p>
    <w:p w14:paraId="3BBC4A23" w14:textId="77777777" w:rsidR="007F184E" w:rsidRDefault="007F184E" w:rsidP="009E2BBB">
      <w:pPr>
        <w:pStyle w:val="Heading2"/>
      </w:pPr>
      <w:bookmarkStart w:id="10" w:name="_Toc96511361"/>
      <w:bookmarkStart w:id="11" w:name="_Hlk77606204"/>
      <w:r w:rsidRPr="004D339D">
        <w:rPr>
          <w:color w:val="000000" w:themeColor="text1"/>
        </w:rPr>
        <w:t>Chichester Car Park Strategy (2010 to 2020)</w:t>
      </w:r>
      <w:bookmarkEnd w:id="10"/>
    </w:p>
    <w:p w14:paraId="251D988A" w14:textId="72570C35" w:rsidR="00CC1DB3" w:rsidRDefault="00CC1DB3" w:rsidP="00CC1DB3">
      <w:r>
        <w:t>CDC’s Car Park Strategy is currently under review with the intention of rewriting and updating the document. Covid has significantly impacted on car parking and the work to update the Strategy had been paused for several months during the pandemic. Some initial draft information had been submitted to CDC by the consultant relating to the refresh of the Parking Strategy.   </w:t>
      </w:r>
    </w:p>
    <w:bookmarkEnd w:id="11"/>
    <w:p w14:paraId="3F1632C2" w14:textId="77777777" w:rsidR="007F184E" w:rsidRDefault="007F184E">
      <w:pPr>
        <w:rPr>
          <w:b/>
        </w:rPr>
      </w:pPr>
      <w:r w:rsidRPr="004D339D">
        <w:rPr>
          <w:rFonts w:eastAsiaTheme="majorEastAsia" w:cstheme="majorBidi"/>
          <w:b/>
          <w:bCs/>
          <w:color w:val="000000" w:themeColor="text1"/>
          <w:sz w:val="24"/>
          <w:szCs w:val="26"/>
        </w:rPr>
        <w:lastRenderedPageBreak/>
        <w:t>West Sussex Climate Change Strategy</w:t>
      </w:r>
      <w:r w:rsidR="00FD7AEB" w:rsidRPr="009E2BBB">
        <w:rPr>
          <w:rFonts w:eastAsiaTheme="majorEastAsia" w:cstheme="majorBidi"/>
          <w:b/>
          <w:bCs/>
          <w:color w:val="4F81BD" w:themeColor="accent1"/>
          <w:sz w:val="24"/>
          <w:szCs w:val="26"/>
        </w:rPr>
        <w:t xml:space="preserve"> </w:t>
      </w:r>
      <w:r w:rsidR="00661257" w:rsidRPr="004D339D">
        <w:rPr>
          <w:rFonts w:eastAsiaTheme="majorEastAsia" w:cstheme="majorBidi"/>
          <w:b/>
          <w:bCs/>
          <w:color w:val="000000" w:themeColor="text1"/>
          <w:sz w:val="24"/>
          <w:szCs w:val="26"/>
        </w:rPr>
        <w:t>(</w:t>
      </w:r>
      <w:r w:rsidR="00FD7AEB" w:rsidRPr="004D339D">
        <w:rPr>
          <w:rFonts w:eastAsiaTheme="majorEastAsia" w:cstheme="majorBidi"/>
          <w:b/>
          <w:bCs/>
          <w:color w:val="000000" w:themeColor="text1"/>
          <w:sz w:val="24"/>
          <w:szCs w:val="26"/>
        </w:rPr>
        <w:t>2020 – 2030</w:t>
      </w:r>
      <w:r w:rsidR="00661257" w:rsidRPr="004D339D">
        <w:rPr>
          <w:rFonts w:eastAsiaTheme="majorEastAsia" w:cstheme="majorBidi"/>
          <w:b/>
          <w:bCs/>
          <w:color w:val="000000" w:themeColor="text1"/>
          <w:sz w:val="24"/>
          <w:szCs w:val="26"/>
        </w:rPr>
        <w:t>)</w:t>
      </w:r>
      <w:r w:rsidR="00661257">
        <w:rPr>
          <w:rStyle w:val="FootnoteReference"/>
          <w:b/>
        </w:rPr>
        <w:footnoteReference w:id="13"/>
      </w:r>
    </w:p>
    <w:p w14:paraId="51A61EB5" w14:textId="77777777" w:rsidR="00661257" w:rsidRPr="00661257" w:rsidRDefault="00661257">
      <w:r>
        <w:t xml:space="preserve">West Sussex County Council’s Climate Change Strategy lists air quality amongst the benefits </w:t>
      </w:r>
      <w:r w:rsidR="005509E7">
        <w:t>s</w:t>
      </w:r>
      <w:r>
        <w:t>ought from tackling climate change through reducing transport by petrol and diesel to reduce Nitrogen Dioxide emissions.</w:t>
      </w:r>
    </w:p>
    <w:p w14:paraId="6CF4E49C" w14:textId="77777777" w:rsidR="007F184E" w:rsidRDefault="007F184E">
      <w:pPr>
        <w:rPr>
          <w:b/>
        </w:rPr>
      </w:pPr>
      <w:r w:rsidRPr="004D339D">
        <w:rPr>
          <w:rFonts w:eastAsiaTheme="majorEastAsia" w:cstheme="majorBidi"/>
          <w:b/>
          <w:bCs/>
          <w:color w:val="000000" w:themeColor="text1"/>
          <w:sz w:val="24"/>
          <w:szCs w:val="26"/>
        </w:rPr>
        <w:t>West Sussex Electric Vehicle Strategy</w:t>
      </w:r>
      <w:r w:rsidR="00661257" w:rsidRPr="004D339D">
        <w:rPr>
          <w:rFonts w:eastAsiaTheme="majorEastAsia" w:cstheme="majorBidi"/>
          <w:b/>
          <w:bCs/>
          <w:color w:val="000000" w:themeColor="text1"/>
          <w:sz w:val="24"/>
          <w:szCs w:val="26"/>
        </w:rPr>
        <w:t xml:space="preserve"> (2019 – 2030)</w:t>
      </w:r>
      <w:r w:rsidR="00661257">
        <w:rPr>
          <w:rStyle w:val="FootnoteReference"/>
          <w:b/>
        </w:rPr>
        <w:footnoteReference w:id="14"/>
      </w:r>
    </w:p>
    <w:p w14:paraId="09F3333B" w14:textId="77777777" w:rsidR="00661257" w:rsidRPr="00661257" w:rsidRDefault="00661257">
      <w:r>
        <w:t>WSCC published an ambitious Electric Vehicle Strategy in 2019 with</w:t>
      </w:r>
      <w:r w:rsidR="00F263D3">
        <w:t xml:space="preserve"> the</w:t>
      </w:r>
      <w:r>
        <w:t xml:space="preserve"> aims to create a public facing electric vehicle charging network </w:t>
      </w:r>
      <w:r w:rsidR="00F263D3">
        <w:t>powered</w:t>
      </w:r>
      <w:r>
        <w:t xml:space="preserve"> </w:t>
      </w:r>
      <w:r w:rsidR="00F263D3">
        <w:t>by</w:t>
      </w:r>
      <w:r>
        <w:t xml:space="preserve"> renewable energy.</w:t>
      </w:r>
    </w:p>
    <w:p w14:paraId="520109F7" w14:textId="77777777" w:rsidR="0006487A" w:rsidRDefault="0006487A" w:rsidP="009E2BBB">
      <w:pPr>
        <w:pStyle w:val="Heading2"/>
      </w:pPr>
      <w:bookmarkStart w:id="12" w:name="_Toc96511362"/>
      <w:r w:rsidRPr="004D339D">
        <w:rPr>
          <w:color w:val="000000" w:themeColor="text1"/>
        </w:rPr>
        <w:t>Sussex-air</w:t>
      </w:r>
      <w:bookmarkEnd w:id="12"/>
    </w:p>
    <w:p w14:paraId="0CE83707" w14:textId="77777777" w:rsidR="00123FB2" w:rsidRPr="00123FB2" w:rsidRDefault="00123FB2" w:rsidP="00123FB2">
      <w:pPr>
        <w:shd w:val="clear" w:color="auto" w:fill="FFFFFF"/>
        <w:spacing w:after="0" w:line="240" w:lineRule="auto"/>
      </w:pPr>
      <w:r w:rsidRPr="00123FB2">
        <w:t>Sussex Air is a partnership of all the Local Authorities in Sussex</w:t>
      </w:r>
      <w:r w:rsidR="00D520D0">
        <w:t xml:space="preserve"> which includes strong links to academic institutions (Brighton University and Imperial College, London).</w:t>
      </w:r>
      <w:r w:rsidRPr="00123FB2">
        <w:t xml:space="preserve"> ​</w:t>
      </w:r>
      <w:r w:rsidRPr="00123FB2">
        <w:br/>
        <w:t>​The purpose of the partnership is to:​</w:t>
      </w:r>
    </w:p>
    <w:p w14:paraId="4393C968" w14:textId="77777777" w:rsidR="00123FB2" w:rsidRPr="00123FB2" w:rsidRDefault="00123FB2" w:rsidP="00123FB2">
      <w:pPr>
        <w:numPr>
          <w:ilvl w:val="0"/>
          <w:numId w:val="22"/>
        </w:numPr>
        <w:shd w:val="clear" w:color="auto" w:fill="FFFFFF"/>
        <w:spacing w:after="100" w:afterAutospacing="1" w:line="240" w:lineRule="auto"/>
      </w:pPr>
      <w:r w:rsidRPr="00123FB2">
        <w:t>Help Local Authorities to meet their statutory obligations to assess and report on local air quality</w:t>
      </w:r>
      <w:r w:rsidR="00D520D0">
        <w:t xml:space="preserve"> through knowledge and best-practice sharing</w:t>
      </w:r>
      <w:r w:rsidRPr="00123FB2">
        <w:t>.​</w:t>
      </w:r>
    </w:p>
    <w:p w14:paraId="17A267A9" w14:textId="77777777" w:rsidR="00123FB2" w:rsidRPr="00123FB2" w:rsidRDefault="00123FB2" w:rsidP="00123FB2">
      <w:pPr>
        <w:numPr>
          <w:ilvl w:val="0"/>
          <w:numId w:val="22"/>
        </w:numPr>
        <w:shd w:val="clear" w:color="auto" w:fill="FFFFFF"/>
        <w:spacing w:before="100" w:beforeAutospacing="1" w:after="100" w:afterAutospacing="1" w:line="240" w:lineRule="auto"/>
      </w:pPr>
      <w:r w:rsidRPr="00123FB2">
        <w:t>Provide information to the public on air quality in their area.​​</w:t>
      </w:r>
    </w:p>
    <w:p w14:paraId="4C6F7FCE" w14:textId="77777777" w:rsidR="00123FB2" w:rsidRPr="00123FB2" w:rsidRDefault="00D520D0" w:rsidP="00123FB2">
      <w:pPr>
        <w:numPr>
          <w:ilvl w:val="0"/>
          <w:numId w:val="22"/>
        </w:numPr>
        <w:shd w:val="clear" w:color="auto" w:fill="FFFFFF"/>
        <w:spacing w:before="100" w:beforeAutospacing="1" w:after="100" w:afterAutospacing="1" w:line="240" w:lineRule="auto"/>
        <w:rPr>
          <w:rFonts w:ascii="Arial" w:eastAsia="Times New Roman" w:hAnsi="Arial" w:cs="Arial"/>
          <w:color w:val="333333"/>
          <w:sz w:val="23"/>
          <w:szCs w:val="23"/>
          <w:lang w:eastAsia="en-GB"/>
        </w:rPr>
      </w:pPr>
      <w:r>
        <w:t>Collaboratively d</w:t>
      </w:r>
      <w:r w:rsidR="00123FB2" w:rsidRPr="00123FB2">
        <w:t>evelop and deliver projects to improve local air quality and to reduce people’s exposure to poor air quality.</w:t>
      </w:r>
      <w:r w:rsidR="00123FB2" w:rsidRPr="00123FB2">
        <w:rPr>
          <w:rFonts w:ascii="Arial" w:eastAsia="Times New Roman" w:hAnsi="Arial" w:cs="Arial"/>
          <w:color w:val="333333"/>
          <w:sz w:val="23"/>
          <w:szCs w:val="23"/>
          <w:lang w:eastAsia="en-GB"/>
        </w:rPr>
        <w:t xml:space="preserve"> ​​</w:t>
      </w:r>
    </w:p>
    <w:p w14:paraId="42605943" w14:textId="77777777" w:rsidR="007F184E" w:rsidRPr="009E2BBB" w:rsidRDefault="005509E7" w:rsidP="009E2BBB">
      <w:pPr>
        <w:pStyle w:val="Heading2"/>
      </w:pPr>
      <w:bookmarkStart w:id="13" w:name="_Toc96511363"/>
      <w:r w:rsidRPr="004D339D">
        <w:rPr>
          <w:color w:val="000000" w:themeColor="text1"/>
        </w:rPr>
        <w:t>C</w:t>
      </w:r>
      <w:r w:rsidR="003A482B" w:rsidRPr="004D339D">
        <w:rPr>
          <w:color w:val="000000" w:themeColor="text1"/>
        </w:rPr>
        <w:t>DC Climate</w:t>
      </w:r>
      <w:r w:rsidR="00785E8A" w:rsidRPr="004D339D">
        <w:rPr>
          <w:color w:val="000000" w:themeColor="text1"/>
        </w:rPr>
        <w:t xml:space="preserve"> Change</w:t>
      </w:r>
      <w:r w:rsidR="003A482B" w:rsidRPr="004D339D">
        <w:rPr>
          <w:color w:val="000000" w:themeColor="text1"/>
        </w:rPr>
        <w:t xml:space="preserve"> Action Plan</w:t>
      </w:r>
      <w:bookmarkEnd w:id="13"/>
      <w:r w:rsidR="003A482B" w:rsidRPr="004D339D">
        <w:rPr>
          <w:color w:val="000000" w:themeColor="text1"/>
        </w:rPr>
        <w:t xml:space="preserve"> </w:t>
      </w:r>
    </w:p>
    <w:p w14:paraId="054D2AF2" w14:textId="77777777" w:rsidR="003A097D" w:rsidRDefault="003A097D" w:rsidP="003A097D">
      <w:r>
        <w:t xml:space="preserve">The Climate Change Action Plan (CCAP) was agreed by the Council in January 2021 and is the development of an initial plan that was agreed by Council in January 2020. This initial plan set a target for reducing greenhouse gases across the district of Chichester. The target is </w:t>
      </w:r>
      <w:r w:rsidRPr="003A097D">
        <w:t>10% reduction year on year until 2025 with year-end 2019 as the start point</w:t>
      </w:r>
      <w:r>
        <w:t>. While the primary greenhouse gas, carbon dioxide, does not fall under the air quality action plan, steps to reduce carbon dioxide emissions will have the additional benefit of reducing air pollution, particularly those from road transport. Nitrogen dioxide is both a greenhouse gas and air pollutant that falls under this air quality action plan and is found in exhaust fumes.</w:t>
      </w:r>
    </w:p>
    <w:p w14:paraId="7C7543F4" w14:textId="77777777" w:rsidR="003A097D" w:rsidRPr="007C6377" w:rsidRDefault="003A097D" w:rsidP="003A097D">
      <w:r>
        <w:t xml:space="preserve">The </w:t>
      </w:r>
      <w:r w:rsidR="005509E7">
        <w:t>CCAP outlines actions that the C</w:t>
      </w:r>
      <w:r>
        <w:t xml:space="preserve">ouncil will take to reduce greenhouse emissions from transport. These actions will focus on behaviour changes rather than infrastructure projects which are largely under the remit of the highways authority, West Sussex County Council, and the Highways Agency. A public information campaign is planned which will promote low or zero carbon modes of transportation. The </w:t>
      </w:r>
      <w:r w:rsidR="005509E7">
        <w:t>C</w:t>
      </w:r>
      <w:r>
        <w:t xml:space="preserve">ouncil will also seek to provide information on funding opportunities that are available from central Government and useful contacts to other organisations so that they can promote low or zero carbon modes of transportation to their staff. The </w:t>
      </w:r>
      <w:r w:rsidR="005509E7">
        <w:t>C</w:t>
      </w:r>
      <w:r>
        <w:t xml:space="preserve">ouncil is working on collating and improving its staff incentives to use </w:t>
      </w:r>
      <w:r w:rsidRPr="00660B8D">
        <w:t>low or zer</w:t>
      </w:r>
      <w:r>
        <w:t xml:space="preserve">o carbon modes of transport. This complements its policy of procuring electric vehicles unless there is a strong business case not to and its installation of public electric vehicle charge-points across the district. </w:t>
      </w:r>
    </w:p>
    <w:p w14:paraId="39BCD0C4" w14:textId="77777777" w:rsidR="00CD4878" w:rsidRPr="004D339D" w:rsidRDefault="00CD4878" w:rsidP="00442FD7">
      <w:pPr>
        <w:pStyle w:val="Heading1"/>
        <w:numPr>
          <w:ilvl w:val="0"/>
          <w:numId w:val="25"/>
        </w:numPr>
        <w:rPr>
          <w:color w:val="000000" w:themeColor="text1"/>
        </w:rPr>
      </w:pPr>
      <w:bookmarkStart w:id="14" w:name="_Toc96511364"/>
      <w:r w:rsidRPr="004D339D">
        <w:rPr>
          <w:color w:val="000000" w:themeColor="text1"/>
        </w:rPr>
        <w:lastRenderedPageBreak/>
        <w:t>Delivery under the previous AQAP</w:t>
      </w:r>
      <w:bookmarkEnd w:id="14"/>
    </w:p>
    <w:p w14:paraId="1BA1C30D" w14:textId="77777777" w:rsidR="00CD4878" w:rsidRDefault="00CD4878">
      <w:r>
        <w:t>We have been working hard since the adoption of the 2015 AQAP seeking monies to deliver meaningful actions</w:t>
      </w:r>
      <w:r w:rsidR="001A5343">
        <w:t xml:space="preserve"> to tackle local air pollution</w:t>
      </w:r>
      <w:r>
        <w:t>. Actions delivered under the auspices of the 2015 – 2020 AQAP are described under the priorities outlined in that document as follows:</w:t>
      </w:r>
    </w:p>
    <w:p w14:paraId="27C48704" w14:textId="77777777" w:rsidR="00CD4878" w:rsidRPr="009E2BBB" w:rsidRDefault="00CD4878" w:rsidP="009E2BBB">
      <w:pPr>
        <w:pStyle w:val="Heading2"/>
      </w:pPr>
      <w:bookmarkStart w:id="15" w:name="_Toc96511365"/>
      <w:r w:rsidRPr="004D339D">
        <w:rPr>
          <w:color w:val="000000" w:themeColor="text1"/>
        </w:rPr>
        <w:t>Priority 1: Measure, model and report on air quality</w:t>
      </w:r>
      <w:bookmarkEnd w:id="15"/>
    </w:p>
    <w:p w14:paraId="397C6E42" w14:textId="77777777" w:rsidR="00CD4878" w:rsidRDefault="00CD4878" w:rsidP="0002782C">
      <w:pPr>
        <w:spacing w:after="0" w:line="240" w:lineRule="auto"/>
        <w:rPr>
          <w:b/>
        </w:rPr>
      </w:pPr>
    </w:p>
    <w:p w14:paraId="759EB097" w14:textId="77777777" w:rsidR="00CD4878" w:rsidRDefault="00CD4878" w:rsidP="00CD4878">
      <w:pPr>
        <w:spacing w:after="0"/>
      </w:pPr>
      <w:r>
        <w:t>Under this priority we have:</w:t>
      </w:r>
    </w:p>
    <w:p w14:paraId="63E99028" w14:textId="77777777" w:rsidR="00CD4878" w:rsidRDefault="00CD4878" w:rsidP="0002782C">
      <w:pPr>
        <w:pStyle w:val="ListParagraph"/>
        <w:numPr>
          <w:ilvl w:val="0"/>
          <w:numId w:val="1"/>
        </w:numPr>
        <w:spacing w:after="0"/>
      </w:pPr>
      <w:r>
        <w:t>Added a further real-time air quality monitoring station for Nitrogen Dioxide (NO</w:t>
      </w:r>
      <w:r w:rsidRPr="0002782C">
        <w:rPr>
          <w:vertAlign w:val="subscript"/>
        </w:rPr>
        <w:t>2</w:t>
      </w:r>
      <w:r>
        <w:t>) on Westhampnett Road , Chichester</w:t>
      </w:r>
      <w:r w:rsidR="0002782C">
        <w:t>,</w:t>
      </w:r>
    </w:p>
    <w:p w14:paraId="124C3FC0" w14:textId="059DC387" w:rsidR="00CD4878" w:rsidRDefault="0002782C" w:rsidP="0002782C">
      <w:pPr>
        <w:pStyle w:val="ListParagraph"/>
        <w:numPr>
          <w:ilvl w:val="0"/>
          <w:numId w:val="1"/>
        </w:numPr>
        <w:spacing w:after="0"/>
      </w:pPr>
      <w:r>
        <w:t>d</w:t>
      </w:r>
      <w:r w:rsidR="00CD4878">
        <w:t xml:space="preserve">elivered air quality modelling to help facilitate an evidence base upon which to </w:t>
      </w:r>
      <w:r>
        <w:t>build this 202</w:t>
      </w:r>
      <w:r w:rsidR="00793BD6">
        <w:t>1</w:t>
      </w:r>
      <w:r>
        <w:t xml:space="preserve"> AQAP</w:t>
      </w:r>
      <w:r w:rsidR="00F11F09">
        <w:t xml:space="preserve"> (this work is described in detail at section </w:t>
      </w:r>
      <w:r w:rsidR="00711A88">
        <w:t>12</w:t>
      </w:r>
      <w:r w:rsidR="00F11F09">
        <w:t>)</w:t>
      </w:r>
      <w:r>
        <w:t>,</w:t>
      </w:r>
    </w:p>
    <w:p w14:paraId="12366DD6" w14:textId="77777777" w:rsidR="0002782C" w:rsidRDefault="0002782C" w:rsidP="0002782C">
      <w:pPr>
        <w:pStyle w:val="ListParagraph"/>
        <w:numPr>
          <w:ilvl w:val="0"/>
          <w:numId w:val="1"/>
        </w:numPr>
        <w:spacing w:after="0"/>
      </w:pPr>
      <w:r>
        <w:t>continued to maintain and run four real-time air quality monitoring stations,</w:t>
      </w:r>
    </w:p>
    <w:p w14:paraId="4D20705A" w14:textId="77777777" w:rsidR="0002782C" w:rsidRDefault="0002782C" w:rsidP="0002782C">
      <w:pPr>
        <w:pStyle w:val="ListParagraph"/>
        <w:numPr>
          <w:ilvl w:val="0"/>
          <w:numId w:val="1"/>
        </w:numPr>
        <w:spacing w:after="0"/>
      </w:pPr>
      <w:r>
        <w:t xml:space="preserve">continued to publish real-time air quality monitoring information on the internet at </w:t>
      </w:r>
      <w:hyperlink r:id="rId18" w:history="1">
        <w:r>
          <w:rPr>
            <w:rStyle w:val="Hyperlink"/>
          </w:rPr>
          <w:t>http://www.sussex-air.net/</w:t>
        </w:r>
      </w:hyperlink>
      <w:r>
        <w:t xml:space="preserve"> and </w:t>
      </w:r>
    </w:p>
    <w:p w14:paraId="7082FCB7" w14:textId="77777777" w:rsidR="0002782C" w:rsidRDefault="0002782C" w:rsidP="0002782C">
      <w:pPr>
        <w:pStyle w:val="ListParagraph"/>
        <w:numPr>
          <w:ilvl w:val="0"/>
          <w:numId w:val="1"/>
        </w:numPr>
        <w:spacing w:after="0"/>
      </w:pPr>
      <w:r>
        <w:t>continued to meet our annual statutory reporting requirement to DEFRA in a timely manner.</w:t>
      </w:r>
    </w:p>
    <w:p w14:paraId="6C25F861" w14:textId="77777777" w:rsidR="00CD4878" w:rsidRPr="00CD4878" w:rsidRDefault="00CD4878" w:rsidP="00CD4878">
      <w:pPr>
        <w:spacing w:after="0"/>
      </w:pPr>
    </w:p>
    <w:p w14:paraId="07B6A3D8" w14:textId="77777777" w:rsidR="0002782C" w:rsidRDefault="0002782C" w:rsidP="009E2BBB">
      <w:pPr>
        <w:pStyle w:val="Heading2"/>
      </w:pPr>
      <w:bookmarkStart w:id="16" w:name="_Toc96511366"/>
      <w:r w:rsidRPr="004D339D">
        <w:rPr>
          <w:color w:val="000000" w:themeColor="text1"/>
        </w:rPr>
        <w:t>Priority 2: Strengthen partnerships, seek funds, pool resources and exploit synergies</w:t>
      </w:r>
      <w:bookmarkEnd w:id="16"/>
    </w:p>
    <w:p w14:paraId="04B839AA" w14:textId="77777777" w:rsidR="0002782C" w:rsidRDefault="0002782C" w:rsidP="0002782C">
      <w:pPr>
        <w:spacing w:after="0"/>
      </w:pPr>
      <w:r>
        <w:t>Under this priority we have:</w:t>
      </w:r>
    </w:p>
    <w:p w14:paraId="2A88D7F8" w14:textId="77777777" w:rsidR="0002782C" w:rsidRDefault="0002782C" w:rsidP="0002782C">
      <w:pPr>
        <w:pStyle w:val="ListParagraph"/>
        <w:numPr>
          <w:ilvl w:val="0"/>
          <w:numId w:val="2"/>
        </w:numPr>
      </w:pPr>
      <w:r>
        <w:t>Bid directly and been partners in an annual bid to DEFRA’s annual Air Quality Grant fund,</w:t>
      </w:r>
    </w:p>
    <w:p w14:paraId="5ED21B2F" w14:textId="77777777" w:rsidR="005509E7" w:rsidRDefault="005509E7" w:rsidP="0002782C">
      <w:pPr>
        <w:pStyle w:val="ListParagraph"/>
        <w:numPr>
          <w:ilvl w:val="0"/>
          <w:numId w:val="2"/>
        </w:numPr>
      </w:pPr>
      <w:r>
        <w:t>twice bid to the West Sussex Business Rates Pool monies for cycling (receiving a total of £131K),</w:t>
      </w:r>
    </w:p>
    <w:p w14:paraId="3D69CEF6" w14:textId="77777777" w:rsidR="0002782C" w:rsidRDefault="0002782C" w:rsidP="0002782C">
      <w:pPr>
        <w:pStyle w:val="ListParagraph"/>
        <w:numPr>
          <w:ilvl w:val="0"/>
          <w:numId w:val="2"/>
        </w:numPr>
      </w:pPr>
      <w:r>
        <w:t xml:space="preserve">chaired the pan-Sussex air quality group of local authorities and academics </w:t>
      </w:r>
      <w:r w:rsidR="00CC5CB7">
        <w:t>known as Sussex-air,</w:t>
      </w:r>
    </w:p>
    <w:p w14:paraId="1F359AFF" w14:textId="3654C71B" w:rsidR="00CC5CB7" w:rsidRDefault="00CC5CB7" w:rsidP="0002782C">
      <w:pPr>
        <w:pStyle w:val="ListParagraph"/>
        <w:numPr>
          <w:ilvl w:val="0"/>
          <w:numId w:val="2"/>
        </w:numPr>
      </w:pPr>
      <w:r>
        <w:t xml:space="preserve">been active </w:t>
      </w:r>
      <w:r w:rsidR="00793BD6">
        <w:t>co-authors of</w:t>
      </w:r>
      <w:r>
        <w:t xml:space="preserve"> the Sussex-air document ‘Air quality and emissions mitigation for Sussex (2020)’</w:t>
      </w:r>
      <w:r>
        <w:rPr>
          <w:rStyle w:val="FootnoteReference"/>
        </w:rPr>
        <w:footnoteReference w:id="15"/>
      </w:r>
      <w:r>
        <w:t>,</w:t>
      </w:r>
    </w:p>
    <w:p w14:paraId="6687E421" w14:textId="77777777" w:rsidR="0002782C" w:rsidRDefault="0002782C" w:rsidP="0002782C">
      <w:pPr>
        <w:pStyle w:val="ListParagraph"/>
        <w:numPr>
          <w:ilvl w:val="0"/>
          <w:numId w:val="2"/>
        </w:numPr>
      </w:pPr>
      <w:r>
        <w:t xml:space="preserve">established </w:t>
      </w:r>
      <w:r w:rsidR="007224BA">
        <w:t xml:space="preserve">stronger partnership working with </w:t>
      </w:r>
      <w:r>
        <w:t>West Sussex Public Health</w:t>
      </w:r>
      <w:r w:rsidR="00CC5CB7">
        <w:t xml:space="preserve"> and</w:t>
      </w:r>
    </w:p>
    <w:p w14:paraId="0647A85F" w14:textId="77777777" w:rsidR="00CC5CB7" w:rsidRDefault="00CC5CB7" w:rsidP="0002782C">
      <w:pPr>
        <w:pStyle w:val="ListParagraph"/>
        <w:numPr>
          <w:ilvl w:val="0"/>
          <w:numId w:val="2"/>
        </w:numPr>
      </w:pPr>
      <w:r>
        <w:t>attended and worked with the WSCC convened Inter-Authority Air Quality Working Group</w:t>
      </w:r>
      <w:r w:rsidR="001A5343">
        <w:t>.</w:t>
      </w:r>
    </w:p>
    <w:p w14:paraId="06130AF3" w14:textId="77777777" w:rsidR="00CC5CB7" w:rsidRDefault="00CC5CB7" w:rsidP="009E2BBB">
      <w:pPr>
        <w:pStyle w:val="Heading2"/>
      </w:pPr>
      <w:bookmarkStart w:id="17" w:name="_Toc96511367"/>
      <w:r w:rsidRPr="004D339D">
        <w:rPr>
          <w:color w:val="000000" w:themeColor="text1"/>
        </w:rPr>
        <w:t>Priority 3: Encourage low emission technology</w:t>
      </w:r>
      <w:bookmarkEnd w:id="17"/>
    </w:p>
    <w:p w14:paraId="2397B5DD" w14:textId="77777777" w:rsidR="00CC5CB7" w:rsidRDefault="00CC5CB7" w:rsidP="00CC5CB7">
      <w:pPr>
        <w:spacing w:after="0"/>
      </w:pPr>
      <w:r>
        <w:t>Under this priority we have:</w:t>
      </w:r>
    </w:p>
    <w:p w14:paraId="0E28B1DC" w14:textId="77777777" w:rsidR="00CC5CB7" w:rsidRDefault="00CC5CB7" w:rsidP="00CC5CB7">
      <w:pPr>
        <w:pStyle w:val="ListParagraph"/>
        <w:numPr>
          <w:ilvl w:val="0"/>
          <w:numId w:val="3"/>
        </w:numPr>
      </w:pPr>
      <w:r>
        <w:t>installed 18 electric vehicle charging points across Chichester district’s car parks</w:t>
      </w:r>
      <w:r w:rsidR="00F11F09">
        <w:t xml:space="preserve"> (see case study below)</w:t>
      </w:r>
      <w:r>
        <w:t>,</w:t>
      </w:r>
    </w:p>
    <w:p w14:paraId="4A3BFED7" w14:textId="77777777" w:rsidR="00CC5CB7" w:rsidRDefault="00C601D3" w:rsidP="00CC5CB7">
      <w:pPr>
        <w:pStyle w:val="ListParagraph"/>
        <w:numPr>
          <w:ilvl w:val="0"/>
          <w:numId w:val="3"/>
        </w:numPr>
      </w:pPr>
      <w:r>
        <w:t>worked up the business case and introduced a policy for integrating electric vehicles in the CDC fleet,</w:t>
      </w:r>
    </w:p>
    <w:p w14:paraId="7AAC679A" w14:textId="77777777" w:rsidR="00DC12BD" w:rsidRDefault="00DC12BD" w:rsidP="00CC5CB7">
      <w:pPr>
        <w:pStyle w:val="ListParagraph"/>
        <w:numPr>
          <w:ilvl w:val="0"/>
          <w:numId w:val="3"/>
        </w:numPr>
      </w:pPr>
      <w:r>
        <w:t>catalysed and led, under the above described policy, the procurement of two electric vehicles for Parking Services,</w:t>
      </w:r>
    </w:p>
    <w:p w14:paraId="430F758F" w14:textId="77777777" w:rsidR="00C601D3" w:rsidRDefault="00C601D3" w:rsidP="00CC5CB7">
      <w:pPr>
        <w:pStyle w:val="ListParagraph"/>
        <w:numPr>
          <w:ilvl w:val="0"/>
          <w:numId w:val="3"/>
        </w:numPr>
      </w:pPr>
      <w:r>
        <w:t xml:space="preserve">implemented the Easit scheme at </w:t>
      </w:r>
      <w:r w:rsidR="00F11F09">
        <w:t>CDC to encourage public transport use</w:t>
      </w:r>
      <w:r>
        <w:t>,</w:t>
      </w:r>
    </w:p>
    <w:p w14:paraId="431DB71B" w14:textId="77777777" w:rsidR="00C601D3" w:rsidRDefault="00C601D3" w:rsidP="00CC5CB7">
      <w:pPr>
        <w:pStyle w:val="ListParagraph"/>
        <w:numPr>
          <w:ilvl w:val="0"/>
          <w:numId w:val="3"/>
        </w:numPr>
      </w:pPr>
      <w:r>
        <w:t xml:space="preserve">implemented a car lease scheme at Chichester District Council which significantly </w:t>
      </w:r>
      <w:r w:rsidR="00F11F09">
        <w:t>incentivises the uptake of electric cars and</w:t>
      </w:r>
    </w:p>
    <w:p w14:paraId="66065D93" w14:textId="77777777" w:rsidR="00F11F09" w:rsidRDefault="00F11F09" w:rsidP="00CC5CB7">
      <w:pPr>
        <w:pStyle w:val="ListParagraph"/>
        <w:numPr>
          <w:ilvl w:val="0"/>
          <w:numId w:val="3"/>
        </w:numPr>
      </w:pPr>
      <w:r>
        <w:t>won monies for the expansion of the Chichester car club.</w:t>
      </w:r>
    </w:p>
    <w:p w14:paraId="1D40B748" w14:textId="77777777" w:rsidR="00F11F09" w:rsidRDefault="00F11F09" w:rsidP="009E2BBB">
      <w:pPr>
        <w:pStyle w:val="Heading2"/>
      </w:pPr>
      <w:bookmarkStart w:id="18" w:name="_Toc96511368"/>
      <w:r w:rsidRPr="004D339D">
        <w:rPr>
          <w:color w:val="000000" w:themeColor="text1"/>
        </w:rPr>
        <w:lastRenderedPageBreak/>
        <w:t>Priority 4: Encourage and Foster behavioural change/modal shift</w:t>
      </w:r>
      <w:bookmarkEnd w:id="18"/>
    </w:p>
    <w:p w14:paraId="56C407B1" w14:textId="77777777" w:rsidR="00F11F09" w:rsidRDefault="00F11F09" w:rsidP="00F11F09">
      <w:pPr>
        <w:spacing w:after="0"/>
      </w:pPr>
      <w:r>
        <w:t>Under this priority we have:</w:t>
      </w:r>
    </w:p>
    <w:p w14:paraId="3967F688" w14:textId="6D6717FE" w:rsidR="00F11F09" w:rsidRDefault="00F11F09" w:rsidP="00F11F09">
      <w:pPr>
        <w:pStyle w:val="ListParagraph"/>
        <w:numPr>
          <w:ilvl w:val="0"/>
          <w:numId w:val="4"/>
        </w:numPr>
      </w:pPr>
      <w:r>
        <w:t xml:space="preserve">Delivered </w:t>
      </w:r>
      <w:r w:rsidR="00793BD6">
        <w:t xml:space="preserve">to adoption </w:t>
      </w:r>
      <w:r>
        <w:t>a Local Cycling and Walking Infrastructure Plan,</w:t>
      </w:r>
    </w:p>
    <w:p w14:paraId="64698217" w14:textId="77777777" w:rsidR="00F11F09" w:rsidRDefault="00F11F09" w:rsidP="00F11F09">
      <w:pPr>
        <w:pStyle w:val="ListParagraph"/>
        <w:numPr>
          <w:ilvl w:val="0"/>
          <w:numId w:val="4"/>
        </w:numPr>
      </w:pPr>
      <w:r>
        <w:t>delivered a small section of bike path</w:t>
      </w:r>
      <w:r w:rsidR="00DC12BD">
        <w:t xml:space="preserve"> at Franklin Place/Jubilee Gardens, Chichester</w:t>
      </w:r>
      <w:r>
        <w:t>,</w:t>
      </w:r>
    </w:p>
    <w:p w14:paraId="3EB09F85" w14:textId="77777777" w:rsidR="00DC12BD" w:rsidRDefault="00DC12BD" w:rsidP="00F11F09">
      <w:pPr>
        <w:pStyle w:val="ListParagraph"/>
        <w:numPr>
          <w:ilvl w:val="0"/>
          <w:numId w:val="4"/>
        </w:numPr>
      </w:pPr>
      <w:r>
        <w:t>provided grant monies to support the development of the aspirational Selsey to Chichester bike path (‘Selsey Greenway’),</w:t>
      </w:r>
    </w:p>
    <w:p w14:paraId="18E49220" w14:textId="77777777" w:rsidR="00DC12BD" w:rsidRDefault="00F11F09" w:rsidP="00DC12BD">
      <w:pPr>
        <w:pStyle w:val="ListParagraph"/>
        <w:numPr>
          <w:ilvl w:val="0"/>
          <w:numId w:val="4"/>
        </w:numPr>
      </w:pPr>
      <w:r>
        <w:t xml:space="preserve">delivered </w:t>
      </w:r>
      <w:r w:rsidR="00DC12BD">
        <w:t xml:space="preserve">a feasibility study for the conversion of a footway into a dual-use path on Oaklands Way, Chichester and </w:t>
      </w:r>
    </w:p>
    <w:p w14:paraId="13C6A32E" w14:textId="77777777" w:rsidR="00DC12BD" w:rsidRDefault="00DC12BD" w:rsidP="00DC12BD">
      <w:pPr>
        <w:pStyle w:val="ListParagraph"/>
        <w:numPr>
          <w:ilvl w:val="0"/>
          <w:numId w:val="4"/>
        </w:numPr>
      </w:pPr>
      <w:r>
        <w:t>carried out promotional activities on Bike to Work Day.</w:t>
      </w:r>
    </w:p>
    <w:p w14:paraId="466ECF1D" w14:textId="77777777" w:rsidR="00DC12BD" w:rsidRDefault="00DC12BD" w:rsidP="009E2BBB">
      <w:pPr>
        <w:pStyle w:val="Heading2"/>
      </w:pPr>
      <w:bookmarkStart w:id="19" w:name="_Toc96511369"/>
      <w:r w:rsidRPr="004D339D">
        <w:rPr>
          <w:color w:val="000000" w:themeColor="text1"/>
        </w:rPr>
        <w:t>Priority 5: Be innovative, capitalise on opportunities and build on success</w:t>
      </w:r>
      <w:bookmarkEnd w:id="19"/>
    </w:p>
    <w:p w14:paraId="240C563E" w14:textId="77777777" w:rsidR="00DC12BD" w:rsidRDefault="00DC12BD" w:rsidP="00DC12BD">
      <w:pPr>
        <w:spacing w:after="0"/>
      </w:pPr>
      <w:r>
        <w:t>Under this priority we have:</w:t>
      </w:r>
    </w:p>
    <w:p w14:paraId="08553FAD" w14:textId="77777777" w:rsidR="00DC12BD" w:rsidRDefault="00DC12BD" w:rsidP="00DC12BD">
      <w:pPr>
        <w:pStyle w:val="ListParagraph"/>
        <w:numPr>
          <w:ilvl w:val="0"/>
          <w:numId w:val="5"/>
        </w:numPr>
        <w:spacing w:after="0"/>
      </w:pPr>
      <w:r>
        <w:t>Been awarded £6</w:t>
      </w:r>
      <w:r w:rsidR="00234841">
        <w:t>2</w:t>
      </w:r>
      <w:r>
        <w:t>K of Office for Low Emissions Vehicles grant money for the installation of eighteen electric vehicle charge points,</w:t>
      </w:r>
    </w:p>
    <w:p w14:paraId="49787756" w14:textId="77777777" w:rsidR="00DC12BD" w:rsidRDefault="00DC12BD" w:rsidP="00DC12BD">
      <w:pPr>
        <w:pStyle w:val="ListParagraph"/>
        <w:numPr>
          <w:ilvl w:val="0"/>
          <w:numId w:val="5"/>
        </w:numPr>
        <w:spacing w:after="0"/>
      </w:pPr>
      <w:r>
        <w:t>been awarded £</w:t>
      </w:r>
      <w:r w:rsidR="00E560A4">
        <w:t>1</w:t>
      </w:r>
      <w:r w:rsidR="0077258B">
        <w:t>31</w:t>
      </w:r>
      <w:r>
        <w:t>K</w:t>
      </w:r>
      <w:r w:rsidR="00E560A4">
        <w:rPr>
          <w:rStyle w:val="FootnoteReference"/>
        </w:rPr>
        <w:footnoteReference w:id="16"/>
      </w:r>
      <w:r>
        <w:t xml:space="preserve"> of grant monies from the Business Rates Pools money from WSCC</w:t>
      </w:r>
      <w:r w:rsidR="00B46CDB">
        <w:t xml:space="preserve"> (see case study 3 below)</w:t>
      </w:r>
      <w:r>
        <w:t xml:space="preserve"> and</w:t>
      </w:r>
    </w:p>
    <w:p w14:paraId="2D86ED85" w14:textId="77777777" w:rsidR="00DC12BD" w:rsidRDefault="00DC12BD" w:rsidP="00DC12BD">
      <w:pPr>
        <w:pStyle w:val="ListParagraph"/>
        <w:numPr>
          <w:ilvl w:val="0"/>
          <w:numId w:val="5"/>
        </w:numPr>
        <w:spacing w:after="0"/>
      </w:pPr>
      <w:r>
        <w:t xml:space="preserve">been allocated CDC unspent </w:t>
      </w:r>
      <w:r w:rsidR="00DF2229">
        <w:t xml:space="preserve">£13K of </w:t>
      </w:r>
      <w:r>
        <w:t xml:space="preserve">S106 monies </w:t>
      </w:r>
      <w:r w:rsidR="00DF2229">
        <w:t>to enlarge the community car club in Chichester.</w:t>
      </w:r>
    </w:p>
    <w:p w14:paraId="2C52C18A" w14:textId="77777777" w:rsidR="00DC12BD" w:rsidRPr="00DC12BD" w:rsidRDefault="00DC12BD" w:rsidP="00DC12BD">
      <w:pPr>
        <w:pStyle w:val="ListParagraph"/>
        <w:spacing w:after="0"/>
      </w:pPr>
    </w:p>
    <w:p w14:paraId="7DD783C6" w14:textId="77777777" w:rsidR="00F11F09" w:rsidRDefault="00F11F09" w:rsidP="00CD4878">
      <w:pPr>
        <w:rPr>
          <w:b/>
        </w:rPr>
      </w:pPr>
      <w:r>
        <w:rPr>
          <w:b/>
        </w:rPr>
        <w:t>Case studies</w:t>
      </w:r>
    </w:p>
    <w:tbl>
      <w:tblPr>
        <w:tblStyle w:val="TableGrid"/>
        <w:tblW w:w="0" w:type="auto"/>
        <w:tblLook w:val="04A0" w:firstRow="1" w:lastRow="0" w:firstColumn="1" w:lastColumn="0" w:noHBand="0" w:noVBand="1"/>
      </w:tblPr>
      <w:tblGrid>
        <w:gridCol w:w="9016"/>
      </w:tblGrid>
      <w:tr w:rsidR="00E43291" w14:paraId="0A53E690" w14:textId="77777777" w:rsidTr="00E43291">
        <w:tc>
          <w:tcPr>
            <w:tcW w:w="9242" w:type="dxa"/>
          </w:tcPr>
          <w:p w14:paraId="4FE74F6B" w14:textId="77777777" w:rsidR="00E43291" w:rsidRDefault="00E23A51" w:rsidP="00E43291">
            <w:r>
              <w:rPr>
                <w:b/>
              </w:rPr>
              <w:t xml:space="preserve">Case study 1: </w:t>
            </w:r>
            <w:r w:rsidR="00E43291" w:rsidRPr="00CD4878">
              <w:rPr>
                <w:b/>
              </w:rPr>
              <w:t>Making the business case for electric vehicles in the CDC fleet</w:t>
            </w:r>
          </w:p>
          <w:p w14:paraId="77DEABE3" w14:textId="77777777" w:rsidR="00E23A51" w:rsidRDefault="00E43291" w:rsidP="00E23A51">
            <w:r>
              <w:t xml:space="preserve">The Environmental Protection </w:t>
            </w:r>
            <w:r w:rsidR="0049131F">
              <w:t xml:space="preserve">(EP) </w:t>
            </w:r>
            <w:r>
              <w:t>Team was awarded free DfT consultancy to establish the initial business case in principal for electric vehicles in the CDC fleet under a scheme then known as the Plugged in Fleet Initiat</w:t>
            </w:r>
            <w:r w:rsidR="0049131F">
              <w:t>i</w:t>
            </w:r>
            <w:r>
              <w:t xml:space="preserve">ve. </w:t>
            </w:r>
            <w:r w:rsidR="0049131F">
              <w:t>EP o</w:t>
            </w:r>
            <w:r>
              <w:t>fficers</w:t>
            </w:r>
            <w:r w:rsidR="0049131F">
              <w:t xml:space="preserve"> then worked with the CDC finance team to build a whole-life costing spreadsheet for the procurement of EVs, this used input data from the Energy Savings Trust, CDC Estates, OLEV, vehicle providers and mileage records from vans in the existing fleet. The spreadsheet </w:t>
            </w:r>
            <w:r w:rsidR="0077258B">
              <w:t>evidenced</w:t>
            </w:r>
            <w:r w:rsidR="0049131F">
              <w:t xml:space="preserve"> that it would be possible to pay back the excess capital cost of an EV compared to a conventional liquid fuelled vehicle through EVs significantly lower running and servicing costs</w:t>
            </w:r>
            <w:r w:rsidR="00E23A51">
              <w:t xml:space="preserve"> and based on Parking Services mileage records</w:t>
            </w:r>
            <w:r w:rsidR="0049131F">
              <w:t>. This enabled Parking Services to procure two Renault Zoe EVs</w:t>
            </w:r>
            <w:r w:rsidR="00E23A51">
              <w:t xml:space="preserve"> in 2019</w:t>
            </w:r>
            <w:r w:rsidR="0049131F">
              <w:t xml:space="preserve">. </w:t>
            </w:r>
          </w:p>
          <w:p w14:paraId="34751282" w14:textId="27106C87" w:rsidR="00E43291" w:rsidRDefault="0049131F" w:rsidP="00E23A51">
            <w:pPr>
              <w:rPr>
                <w:b/>
              </w:rPr>
            </w:pPr>
            <w:r>
              <w:t xml:space="preserve">The policy was </w:t>
            </w:r>
            <w:r w:rsidR="00E23A51">
              <w:t>approved by Cabinet in November 2015 such that the adopted policy is: ‘That the Council purchases electric vans and cars instead of conventionally fuelled vehicles unless there are significant business reasons why this is not appropriate.’ A supporting pack of information to support the policy has since been added to the CDC intranet and a briefing provided to the Corporate Management Team.</w:t>
            </w:r>
          </w:p>
        </w:tc>
      </w:tr>
    </w:tbl>
    <w:p w14:paraId="4FC0D3EA" w14:textId="77777777" w:rsidR="00E43291" w:rsidRDefault="00E43291" w:rsidP="00CD4878">
      <w:pPr>
        <w:rPr>
          <w:b/>
        </w:rPr>
      </w:pPr>
    </w:p>
    <w:tbl>
      <w:tblPr>
        <w:tblStyle w:val="TableGrid"/>
        <w:tblW w:w="0" w:type="auto"/>
        <w:tblLook w:val="04A0" w:firstRow="1" w:lastRow="0" w:firstColumn="1" w:lastColumn="0" w:noHBand="0" w:noVBand="1"/>
      </w:tblPr>
      <w:tblGrid>
        <w:gridCol w:w="9016"/>
      </w:tblGrid>
      <w:tr w:rsidR="00E23A51" w14:paraId="67016379" w14:textId="77777777" w:rsidTr="00E23A51">
        <w:tc>
          <w:tcPr>
            <w:tcW w:w="9242" w:type="dxa"/>
          </w:tcPr>
          <w:p w14:paraId="338E9B4A" w14:textId="77777777" w:rsidR="00E23A51" w:rsidRPr="00E23A51" w:rsidRDefault="00E23A51" w:rsidP="00E23A51">
            <w:pPr>
              <w:rPr>
                <w:b/>
              </w:rPr>
            </w:pPr>
            <w:r w:rsidRPr="00E23A51">
              <w:rPr>
                <w:b/>
              </w:rPr>
              <w:t>Case study 2: Electric vehicle charge points</w:t>
            </w:r>
          </w:p>
          <w:p w14:paraId="00E83337" w14:textId="77777777" w:rsidR="00E23A51" w:rsidRDefault="00E23A51" w:rsidP="00692510">
            <w:r>
              <w:t xml:space="preserve">EP Officers took a paper to Cabinet in December 2015 which resulted in Cabinet resolving to support a bid to the Office for Low Emission Vehicles (OLEV) for grant to support the </w:t>
            </w:r>
            <w:r w:rsidR="00692510">
              <w:t>installation of eighteen electric vehicle charge points with the support of up to £45K of match funding</w:t>
            </w:r>
            <w:r>
              <w:t xml:space="preserve">. </w:t>
            </w:r>
            <w:r w:rsidR="00692510">
              <w:t xml:space="preserve">A business model was then approved by the Senior Leadership Team to prove that the service could be provided and be revenue neutral to the authority. Two Frameworks for the provision of EVCPs were then assessed and a provider chosen, a specification for the EVCPs was written and a </w:t>
            </w:r>
            <w:r w:rsidR="00692510">
              <w:lastRenderedPageBreak/>
              <w:t>provider invited to tender. The resulting costs were used as the basis for a bid to OLEV who awarded CDC £62K. The install was managed by EP and the eighteen EVCPs are now operational.</w:t>
            </w:r>
          </w:p>
        </w:tc>
      </w:tr>
    </w:tbl>
    <w:p w14:paraId="3B521664" w14:textId="77777777" w:rsidR="00CD4878" w:rsidRDefault="00CD4878" w:rsidP="00E23A51">
      <w:pPr>
        <w:spacing w:after="0"/>
      </w:pPr>
    </w:p>
    <w:p w14:paraId="5731BBD0" w14:textId="77777777" w:rsidR="00B46CDB" w:rsidRDefault="00B46CDB" w:rsidP="00E23A51">
      <w:pPr>
        <w:spacing w:after="0"/>
      </w:pPr>
    </w:p>
    <w:tbl>
      <w:tblPr>
        <w:tblStyle w:val="TableGrid"/>
        <w:tblW w:w="0" w:type="auto"/>
        <w:tblLook w:val="04A0" w:firstRow="1" w:lastRow="0" w:firstColumn="1" w:lastColumn="0" w:noHBand="0" w:noVBand="1"/>
      </w:tblPr>
      <w:tblGrid>
        <w:gridCol w:w="9016"/>
      </w:tblGrid>
      <w:tr w:rsidR="00B46CDB" w14:paraId="2B77268B" w14:textId="77777777" w:rsidTr="00B46CDB">
        <w:tc>
          <w:tcPr>
            <w:tcW w:w="9242" w:type="dxa"/>
          </w:tcPr>
          <w:p w14:paraId="29FF1153" w14:textId="77777777" w:rsidR="00B46CDB" w:rsidRDefault="00B46CDB" w:rsidP="00B46CDB">
            <w:r w:rsidRPr="00B46CDB">
              <w:rPr>
                <w:b/>
              </w:rPr>
              <w:t>Case study 3: Chichester City Local Cycling and Walking Infrastructure Plan</w:t>
            </w:r>
          </w:p>
          <w:p w14:paraId="3948732C" w14:textId="584AEEBE" w:rsidR="00B46CDB" w:rsidRPr="00B46CDB" w:rsidRDefault="00B46CDB" w:rsidP="006A0E33">
            <w:r>
              <w:t xml:space="preserve">A successful bid to the West Sussex Business Rates Pool led to a grant award of £70K for cycling related projects. Following a Cabinet resolution to spend the monies a tender specification was written and a consultant awarded the contract to produce the Chichester City LCWIP. Two public consultation workshop sessions were held and, working in partnership with WSCC Highways, a draft LCWIP was produced. The draft for consultation document passed through Environment Panel, Development Plan </w:t>
            </w:r>
            <w:r w:rsidR="00E81D3C">
              <w:t xml:space="preserve">and </w:t>
            </w:r>
            <w:r>
              <w:t xml:space="preserve">Infrastructure Panel, Overview and Scrutiny before approval for public consultation. 240 consultation responses were received and the document amended ready to pass back through the committees for approval by Cabinet for adoption in the spring of 2021. The Environmental Protection Team is working with Planning Policy colleagues to maximise the presence of the LCWIP schemes (routes) in the Revised Local Plan and Infrastructure Business Plan to maximise </w:t>
            </w:r>
            <w:r w:rsidR="006A0E33">
              <w:t>the opportunity for scheme delivery</w:t>
            </w:r>
            <w:r>
              <w:t>.</w:t>
            </w:r>
            <w:r w:rsidR="006A0E33">
              <w:t xml:space="preserve"> </w:t>
            </w:r>
          </w:p>
        </w:tc>
      </w:tr>
    </w:tbl>
    <w:p w14:paraId="150E67E2" w14:textId="77777777" w:rsidR="00B46CDB" w:rsidRPr="00CD4878" w:rsidRDefault="00B46CDB" w:rsidP="00E23A51">
      <w:pPr>
        <w:spacing w:after="0"/>
      </w:pPr>
    </w:p>
    <w:p w14:paraId="64B40438" w14:textId="77777777" w:rsidR="009B023F" w:rsidRPr="004D339D" w:rsidRDefault="00900DC7" w:rsidP="006905D5">
      <w:pPr>
        <w:pStyle w:val="Heading1"/>
        <w:numPr>
          <w:ilvl w:val="0"/>
          <w:numId w:val="25"/>
        </w:numPr>
        <w:spacing w:before="0"/>
        <w:rPr>
          <w:color w:val="000000" w:themeColor="text1"/>
        </w:rPr>
      </w:pPr>
      <w:bookmarkStart w:id="20" w:name="_Toc96511370"/>
      <w:r w:rsidRPr="004D339D">
        <w:rPr>
          <w:color w:val="000000" w:themeColor="text1"/>
        </w:rPr>
        <w:t>Chichester District Air Quality Management Areas</w:t>
      </w:r>
      <w:bookmarkEnd w:id="20"/>
    </w:p>
    <w:p w14:paraId="6912BE3E" w14:textId="77777777" w:rsidR="00900DC7" w:rsidRDefault="00900DC7">
      <w:r>
        <w:t>Chichester District Council (CDC) has four locations which exceeded the annual air quality standard for nitrogen dioxide (NO</w:t>
      </w:r>
      <w:r w:rsidRPr="00900DC7">
        <w:rPr>
          <w:vertAlign w:val="subscript"/>
        </w:rPr>
        <w:t>2</w:t>
      </w:r>
      <w:r>
        <w:t>) and for which four AQMAs are declared. The AQMA locations are as listed below:</w:t>
      </w:r>
    </w:p>
    <w:p w14:paraId="0F1951EE" w14:textId="77777777" w:rsidR="005F4241" w:rsidRPr="005F4241" w:rsidRDefault="005F4241" w:rsidP="00104989">
      <w:pPr>
        <w:pStyle w:val="Caption"/>
        <w:keepNext/>
        <w:spacing w:after="0"/>
        <w:rPr>
          <w:b w:val="0"/>
          <w:bCs w:val="0"/>
          <w:color w:val="auto"/>
          <w:sz w:val="22"/>
          <w:szCs w:val="22"/>
        </w:rPr>
      </w:pPr>
      <w:r w:rsidRPr="005F4241">
        <w:rPr>
          <w:bCs w:val="0"/>
          <w:color w:val="auto"/>
          <w:sz w:val="22"/>
          <w:szCs w:val="22"/>
        </w:rPr>
        <w:t xml:space="preserve">Table </w:t>
      </w:r>
      <w:r w:rsidRPr="005F4241">
        <w:rPr>
          <w:bCs w:val="0"/>
          <w:color w:val="auto"/>
          <w:sz w:val="22"/>
          <w:szCs w:val="22"/>
        </w:rPr>
        <w:fldChar w:fldCharType="begin"/>
      </w:r>
      <w:r w:rsidRPr="005F4241">
        <w:rPr>
          <w:bCs w:val="0"/>
          <w:color w:val="auto"/>
          <w:sz w:val="22"/>
          <w:szCs w:val="22"/>
        </w:rPr>
        <w:instrText xml:space="preserve"> SEQ Table \* ARABIC </w:instrText>
      </w:r>
      <w:r w:rsidRPr="005F4241">
        <w:rPr>
          <w:bCs w:val="0"/>
          <w:color w:val="auto"/>
          <w:sz w:val="22"/>
          <w:szCs w:val="22"/>
        </w:rPr>
        <w:fldChar w:fldCharType="separate"/>
      </w:r>
      <w:r w:rsidR="00947DF1">
        <w:rPr>
          <w:bCs w:val="0"/>
          <w:noProof/>
          <w:color w:val="auto"/>
          <w:sz w:val="22"/>
          <w:szCs w:val="22"/>
        </w:rPr>
        <w:t>2</w:t>
      </w:r>
      <w:r w:rsidRPr="005F4241">
        <w:rPr>
          <w:bCs w:val="0"/>
          <w:color w:val="auto"/>
          <w:sz w:val="22"/>
          <w:szCs w:val="22"/>
        </w:rPr>
        <w:fldChar w:fldCharType="end"/>
      </w:r>
      <w:r w:rsidRPr="005F4241">
        <w:rPr>
          <w:bCs w:val="0"/>
          <w:color w:val="auto"/>
          <w:sz w:val="22"/>
          <w:szCs w:val="22"/>
        </w:rPr>
        <w:t>:</w:t>
      </w:r>
      <w:r w:rsidRPr="005F4241">
        <w:rPr>
          <w:b w:val="0"/>
          <w:bCs w:val="0"/>
          <w:color w:val="auto"/>
          <w:sz w:val="22"/>
          <w:szCs w:val="22"/>
        </w:rPr>
        <w:t xml:space="preserve"> Chichester District’s AQMA details</w:t>
      </w:r>
      <w:r w:rsidR="00104989">
        <w:rPr>
          <w:b w:val="0"/>
          <w:bCs w:val="0"/>
          <w:color w:val="auto"/>
          <w:sz w:val="22"/>
          <w:szCs w:val="22"/>
        </w:rPr>
        <w:t>:</w:t>
      </w:r>
    </w:p>
    <w:tbl>
      <w:tblPr>
        <w:tblStyle w:val="TableGrid"/>
        <w:tblW w:w="9322" w:type="dxa"/>
        <w:tblLook w:val="04A0" w:firstRow="1" w:lastRow="0" w:firstColumn="1" w:lastColumn="0" w:noHBand="0" w:noVBand="1"/>
      </w:tblPr>
      <w:tblGrid>
        <w:gridCol w:w="1668"/>
        <w:gridCol w:w="1639"/>
        <w:gridCol w:w="6015"/>
      </w:tblGrid>
      <w:tr w:rsidR="001B088D" w14:paraId="71C78273" w14:textId="77777777" w:rsidTr="001B088D">
        <w:tc>
          <w:tcPr>
            <w:tcW w:w="1668" w:type="dxa"/>
          </w:tcPr>
          <w:p w14:paraId="5968BF2C" w14:textId="77777777" w:rsidR="001B088D" w:rsidRPr="001B088D" w:rsidRDefault="00A4014D" w:rsidP="00A4014D">
            <w:pPr>
              <w:rPr>
                <w:b/>
              </w:rPr>
            </w:pPr>
            <w:r>
              <w:rPr>
                <w:b/>
              </w:rPr>
              <w:t>AQMA l</w:t>
            </w:r>
            <w:r w:rsidR="001B088D" w:rsidRPr="001B088D">
              <w:rPr>
                <w:b/>
              </w:rPr>
              <w:t>ocation</w:t>
            </w:r>
            <w:r w:rsidR="001B088D">
              <w:rPr>
                <w:b/>
              </w:rPr>
              <w:t xml:space="preserve"> (road)</w:t>
            </w:r>
            <w:r w:rsidR="001B088D" w:rsidRPr="001B088D">
              <w:rPr>
                <w:b/>
              </w:rPr>
              <w:t>:</w:t>
            </w:r>
          </w:p>
        </w:tc>
        <w:tc>
          <w:tcPr>
            <w:tcW w:w="1639" w:type="dxa"/>
          </w:tcPr>
          <w:p w14:paraId="227ADF2A" w14:textId="77777777" w:rsidR="001B088D" w:rsidRPr="001B088D" w:rsidRDefault="001B088D">
            <w:pPr>
              <w:rPr>
                <w:b/>
              </w:rPr>
            </w:pPr>
            <w:r w:rsidRPr="001B088D">
              <w:rPr>
                <w:b/>
              </w:rPr>
              <w:t>Year declared:</w:t>
            </w:r>
          </w:p>
        </w:tc>
        <w:tc>
          <w:tcPr>
            <w:tcW w:w="6015" w:type="dxa"/>
          </w:tcPr>
          <w:p w14:paraId="5ED0227A" w14:textId="77777777" w:rsidR="001B088D" w:rsidRPr="001B088D" w:rsidRDefault="001B088D">
            <w:pPr>
              <w:rPr>
                <w:b/>
              </w:rPr>
            </w:pPr>
            <w:r w:rsidRPr="001B088D">
              <w:rPr>
                <w:b/>
              </w:rPr>
              <w:t>Link to declaration order:</w:t>
            </w:r>
          </w:p>
        </w:tc>
      </w:tr>
      <w:tr w:rsidR="001B088D" w14:paraId="4218A9F3" w14:textId="77777777" w:rsidTr="001B088D">
        <w:tc>
          <w:tcPr>
            <w:tcW w:w="1668" w:type="dxa"/>
          </w:tcPr>
          <w:p w14:paraId="0DE477B5" w14:textId="77777777" w:rsidR="001B088D" w:rsidRDefault="001B088D">
            <w:r>
              <w:t>Orchard Street, Chichester (A286)</w:t>
            </w:r>
          </w:p>
        </w:tc>
        <w:tc>
          <w:tcPr>
            <w:tcW w:w="1639" w:type="dxa"/>
          </w:tcPr>
          <w:p w14:paraId="10D10D09" w14:textId="77777777" w:rsidR="001B088D" w:rsidRDefault="001B088D">
            <w:r>
              <w:t>2007</w:t>
            </w:r>
          </w:p>
        </w:tc>
        <w:tc>
          <w:tcPr>
            <w:tcW w:w="6015" w:type="dxa"/>
          </w:tcPr>
          <w:p w14:paraId="3EEDC12D" w14:textId="77777777" w:rsidR="001B088D" w:rsidRDefault="00350455">
            <w:hyperlink r:id="rId19" w:history="1">
              <w:r w:rsidR="001B088D">
                <w:rPr>
                  <w:rStyle w:val="Hyperlink"/>
                </w:rPr>
                <w:t>https://www.chichester.gov.uk/media/7896/Orchard-Street-AQMA-Order/pdf/Orchard_Street_Order.pdf</w:t>
              </w:r>
            </w:hyperlink>
          </w:p>
        </w:tc>
      </w:tr>
      <w:tr w:rsidR="001B088D" w14:paraId="632859AF" w14:textId="77777777" w:rsidTr="001B088D">
        <w:tc>
          <w:tcPr>
            <w:tcW w:w="1668" w:type="dxa"/>
          </w:tcPr>
          <w:p w14:paraId="473C9782" w14:textId="77777777" w:rsidR="001B088D" w:rsidRDefault="001B088D">
            <w:r>
              <w:t>St Pancras, Chichester (A286)</w:t>
            </w:r>
          </w:p>
        </w:tc>
        <w:tc>
          <w:tcPr>
            <w:tcW w:w="1639" w:type="dxa"/>
          </w:tcPr>
          <w:p w14:paraId="7A8D33F5" w14:textId="77777777" w:rsidR="001B088D" w:rsidRDefault="001B088D">
            <w:r>
              <w:t>2007</w:t>
            </w:r>
          </w:p>
        </w:tc>
        <w:tc>
          <w:tcPr>
            <w:tcW w:w="6015" w:type="dxa"/>
          </w:tcPr>
          <w:p w14:paraId="160F4720" w14:textId="77777777" w:rsidR="001B088D" w:rsidRDefault="00350455">
            <w:hyperlink r:id="rId20" w:history="1">
              <w:r w:rsidR="001B088D">
                <w:rPr>
                  <w:rStyle w:val="Hyperlink"/>
                </w:rPr>
                <w:t>https://www.chichester.gov.uk/media/7898/St-Pancras-AQMA-Order/pdf/St_Pancras_Order.pdf</w:t>
              </w:r>
            </w:hyperlink>
          </w:p>
        </w:tc>
      </w:tr>
      <w:tr w:rsidR="001B088D" w14:paraId="6CF840AC" w14:textId="77777777" w:rsidTr="001B088D">
        <w:tc>
          <w:tcPr>
            <w:tcW w:w="1668" w:type="dxa"/>
          </w:tcPr>
          <w:p w14:paraId="1E057E38" w14:textId="77777777" w:rsidR="001B088D" w:rsidRDefault="001B088D" w:rsidP="001B088D">
            <w:r>
              <w:t>Stockbridge A27 roundabout, Chichester (A27)</w:t>
            </w:r>
          </w:p>
        </w:tc>
        <w:tc>
          <w:tcPr>
            <w:tcW w:w="1639" w:type="dxa"/>
          </w:tcPr>
          <w:p w14:paraId="53C7F68C" w14:textId="77777777" w:rsidR="001B088D" w:rsidRDefault="001B088D">
            <w:r>
              <w:t>2006</w:t>
            </w:r>
          </w:p>
        </w:tc>
        <w:tc>
          <w:tcPr>
            <w:tcW w:w="6015" w:type="dxa"/>
          </w:tcPr>
          <w:p w14:paraId="394A2849" w14:textId="77777777" w:rsidR="001B088D" w:rsidRDefault="00350455">
            <w:hyperlink r:id="rId21" w:history="1">
              <w:r w:rsidR="001B088D">
                <w:rPr>
                  <w:rStyle w:val="Hyperlink"/>
                </w:rPr>
                <w:t>https://www.chichester.gov.uk/media/7897/Stockbridge-AQMA-Order/pdf/Stockbridge_Order.pdf</w:t>
              </w:r>
            </w:hyperlink>
          </w:p>
        </w:tc>
      </w:tr>
      <w:tr w:rsidR="001B088D" w14:paraId="59F8D881" w14:textId="77777777" w:rsidTr="001B088D">
        <w:tc>
          <w:tcPr>
            <w:tcW w:w="1668" w:type="dxa"/>
          </w:tcPr>
          <w:p w14:paraId="0AD6039E" w14:textId="77777777" w:rsidR="001B088D" w:rsidRDefault="001B088D">
            <w:r>
              <w:t>Rumbold’s Hill, Midhurst (A286, A272)</w:t>
            </w:r>
          </w:p>
        </w:tc>
        <w:tc>
          <w:tcPr>
            <w:tcW w:w="1639" w:type="dxa"/>
          </w:tcPr>
          <w:p w14:paraId="4F558510" w14:textId="77777777" w:rsidR="001B088D" w:rsidRDefault="001B088D">
            <w:r>
              <w:t>2020</w:t>
            </w:r>
          </w:p>
        </w:tc>
        <w:tc>
          <w:tcPr>
            <w:tcW w:w="6015" w:type="dxa"/>
          </w:tcPr>
          <w:p w14:paraId="1EDE874A" w14:textId="77777777" w:rsidR="001B088D" w:rsidRDefault="00350455">
            <w:hyperlink r:id="rId22" w:history="1">
              <w:r w:rsidR="001B088D">
                <w:rPr>
                  <w:rStyle w:val="Hyperlink"/>
                </w:rPr>
                <w:t>https://www.chichester.gov.uk/media/33350/Rumbolds-Hill-AQMA-Order/pdf/AQMA_-_Rumbolds_Hill_-_Midhurst-.pdf</w:t>
              </w:r>
            </w:hyperlink>
          </w:p>
        </w:tc>
      </w:tr>
    </w:tbl>
    <w:p w14:paraId="3A96B6AA" w14:textId="77777777" w:rsidR="001B088D" w:rsidRDefault="001B088D" w:rsidP="001B088D">
      <w:pPr>
        <w:spacing w:after="0"/>
      </w:pPr>
    </w:p>
    <w:p w14:paraId="42EA5D84" w14:textId="77777777" w:rsidR="00C50B38" w:rsidRDefault="00C50B38" w:rsidP="00104989">
      <w:pPr>
        <w:pStyle w:val="Heading2"/>
      </w:pPr>
      <w:bookmarkStart w:id="21" w:name="_Toc96511371"/>
      <w:r w:rsidRPr="004D339D">
        <w:rPr>
          <w:color w:val="000000" w:themeColor="text1"/>
        </w:rPr>
        <w:t>Description of Orchard Street, Chichester AQMA</w:t>
      </w:r>
      <w:bookmarkEnd w:id="21"/>
    </w:p>
    <w:p w14:paraId="34126EEA" w14:textId="77777777" w:rsidR="00104989" w:rsidRDefault="00C50B38">
      <w:r>
        <w:t>Orchard Street is a residential street which is also part of the A286 trunk-road. The AQMA is only declared for the Eastern length of the street between Orchard Gardens and the junction with Northgate roundabout</w:t>
      </w:r>
      <w:r w:rsidR="00DF7FC6">
        <w:t>, the street is broadly flat</w:t>
      </w:r>
      <w:r>
        <w:t xml:space="preserve">. </w:t>
      </w:r>
      <w:r w:rsidR="00104989">
        <w:t>The street also has</w:t>
      </w:r>
      <w:r>
        <w:t xml:space="preserve"> Immanuel Church and Chichester Lancastrian Infants School and C</w:t>
      </w:r>
      <w:r w:rsidR="001E3BF6">
        <w:t>entral Church of England Aca</w:t>
      </w:r>
      <w:r>
        <w:t>demy school West of the AQMA boundary.</w:t>
      </w:r>
      <w:r w:rsidR="00970F5C">
        <w:t xml:space="preserve"> </w:t>
      </w:r>
      <w:r>
        <w:t xml:space="preserve">The street is partially canyonised and experiences increased </w:t>
      </w:r>
      <w:r w:rsidR="00970F5C">
        <w:t>traffic</w:t>
      </w:r>
      <w:r>
        <w:t xml:space="preserve"> volumes at </w:t>
      </w:r>
      <w:r w:rsidR="00104989">
        <w:t>peak hours.</w:t>
      </w:r>
    </w:p>
    <w:p w14:paraId="4235D84E" w14:textId="77777777" w:rsidR="00104989" w:rsidRDefault="00104989" w:rsidP="00104989">
      <w:pPr>
        <w:spacing w:after="0"/>
      </w:pPr>
      <w:r w:rsidRPr="00711A88">
        <w:rPr>
          <w:b/>
        </w:rPr>
        <w:lastRenderedPageBreak/>
        <w:t xml:space="preserve">Plan </w:t>
      </w:r>
      <w:r w:rsidR="00711A88" w:rsidRPr="00711A88">
        <w:rPr>
          <w:b/>
        </w:rPr>
        <w:t>1</w:t>
      </w:r>
      <w:r w:rsidR="00B8630F">
        <w:rPr>
          <w:rStyle w:val="FootnoteReference"/>
        </w:rPr>
        <w:footnoteReference w:id="17"/>
      </w:r>
      <w:r w:rsidRPr="00711A88">
        <w:rPr>
          <w:b/>
        </w:rPr>
        <w:t>:</w:t>
      </w:r>
      <w:r>
        <w:t xml:space="preserve"> Orchard Street AQMA, Chichester:</w:t>
      </w:r>
    </w:p>
    <w:p w14:paraId="26B80540" w14:textId="77777777" w:rsidR="00C50B38" w:rsidRDefault="00104989">
      <w:r w:rsidRPr="00104989">
        <w:rPr>
          <w:noProof/>
          <w:lang w:eastAsia="en-GB"/>
        </w:rPr>
        <w:t xml:space="preserve"> </w:t>
      </w:r>
      <w:r>
        <w:rPr>
          <w:noProof/>
          <w:lang w:eastAsia="en-GB"/>
        </w:rPr>
        <w:drawing>
          <wp:inline distT="0" distB="0" distL="0" distR="0" wp14:anchorId="310F26DB" wp14:editId="020C4C06">
            <wp:extent cx="2463165" cy="2749550"/>
            <wp:effectExtent l="0" t="0" r="0" b="0"/>
            <wp:docPr id="289" name="Picture 289" descr="Diagram of pl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Diagram of plan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3165" cy="2749550"/>
                    </a:xfrm>
                    <a:prstGeom prst="rect">
                      <a:avLst/>
                    </a:prstGeom>
                    <a:noFill/>
                  </pic:spPr>
                </pic:pic>
              </a:graphicData>
            </a:graphic>
          </wp:inline>
        </w:drawing>
      </w:r>
      <w:r w:rsidRPr="00104989">
        <w:rPr>
          <w:noProof/>
          <w:lang w:eastAsia="en-GB"/>
        </w:rPr>
        <w:t xml:space="preserve"> </w:t>
      </w:r>
    </w:p>
    <w:p w14:paraId="7CAE24B7" w14:textId="77777777" w:rsidR="00C50B38" w:rsidRPr="00104989" w:rsidRDefault="00C50B38" w:rsidP="00104989">
      <w:pPr>
        <w:pStyle w:val="Heading2"/>
      </w:pPr>
      <w:bookmarkStart w:id="22" w:name="_Toc96511372"/>
      <w:r w:rsidRPr="004D339D">
        <w:rPr>
          <w:color w:val="000000" w:themeColor="text1"/>
        </w:rPr>
        <w:t>Description of St Pancras, Chichester AQMA</w:t>
      </w:r>
      <w:bookmarkEnd w:id="22"/>
    </w:p>
    <w:p w14:paraId="3FC370B9" w14:textId="77777777" w:rsidR="00C50B38" w:rsidRDefault="00B13E7D">
      <w:r>
        <w:t xml:space="preserve">St Pancras is also part of the A286. </w:t>
      </w:r>
      <w:r w:rsidR="001E3BF6">
        <w:t xml:space="preserve">Only the Western most section of </w:t>
      </w:r>
      <w:r w:rsidR="00C50B38">
        <w:t>St Pancras</w:t>
      </w:r>
      <w:r w:rsidR="001E3BF6">
        <w:t xml:space="preserve">, between Eastgate Square and the junction with New Park Road, </w:t>
      </w:r>
      <w:r w:rsidR="00C50B38">
        <w:t xml:space="preserve">is </w:t>
      </w:r>
      <w:r w:rsidR="001E3BF6">
        <w:t>declared an AQMA</w:t>
      </w:r>
      <w:r w:rsidR="00341F9E">
        <w:t xml:space="preserve">, the street is one-way traffic flowing West to East </w:t>
      </w:r>
      <w:r w:rsidR="00DF7FC6">
        <w:t>and is broadly flat</w:t>
      </w:r>
      <w:r w:rsidR="001E3BF6">
        <w:t xml:space="preserve">. The AQMA </w:t>
      </w:r>
      <w:r w:rsidR="00341F9E">
        <w:t xml:space="preserve">contains </w:t>
      </w:r>
      <w:r w:rsidR="00C50B38">
        <w:t xml:space="preserve">mixed residential and retail </w:t>
      </w:r>
      <w:r w:rsidR="00341F9E">
        <w:t>properties where the ratio of the building heights to road width creates a canyonised street feature. Traffic generally flows freely though is subject to acceleration into the AQMA from being stopped at two pedestrian crossings, exiting East Street and traversing the sharp corner between the Hornet and St Pancras.</w:t>
      </w:r>
    </w:p>
    <w:p w14:paraId="2DF89EAF" w14:textId="77777777" w:rsidR="006905D5" w:rsidRDefault="006905D5" w:rsidP="00104989">
      <w:pPr>
        <w:spacing w:after="0"/>
        <w:rPr>
          <w:b/>
        </w:rPr>
      </w:pPr>
    </w:p>
    <w:p w14:paraId="35EC6E40" w14:textId="77777777" w:rsidR="00104989" w:rsidRDefault="00104989" w:rsidP="00104989">
      <w:pPr>
        <w:spacing w:after="0"/>
      </w:pPr>
      <w:r w:rsidRPr="00711A88">
        <w:rPr>
          <w:b/>
        </w:rPr>
        <w:t xml:space="preserve">Plan </w:t>
      </w:r>
      <w:r w:rsidR="00711A88" w:rsidRPr="00711A88">
        <w:rPr>
          <w:b/>
        </w:rPr>
        <w:t>2</w:t>
      </w:r>
      <w:r w:rsidRPr="00711A88">
        <w:rPr>
          <w:b/>
        </w:rPr>
        <w:t>:</w:t>
      </w:r>
      <w:r>
        <w:t xml:space="preserve"> St Pancras AQMA, Chichester:</w:t>
      </w:r>
    </w:p>
    <w:p w14:paraId="4A4E5C73" w14:textId="77777777" w:rsidR="00104989" w:rsidRPr="00C50B38" w:rsidRDefault="00104989">
      <w:r>
        <w:rPr>
          <w:noProof/>
          <w:lang w:eastAsia="en-GB"/>
        </w:rPr>
        <w:drawing>
          <wp:inline distT="0" distB="0" distL="0" distR="0" wp14:anchorId="4CCC34F9" wp14:editId="16817E48">
            <wp:extent cx="2491800" cy="2759103"/>
            <wp:effectExtent l="0" t="0" r="3810" b="3175"/>
            <wp:docPr id="290" name="Picture 290" descr="pl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plan 2"/>
                    <pic:cNvPicPr/>
                  </pic:nvPicPr>
                  <pic:blipFill>
                    <a:blip r:embed="rId24"/>
                    <a:stretch>
                      <a:fillRect/>
                    </a:stretch>
                  </pic:blipFill>
                  <pic:spPr>
                    <a:xfrm>
                      <a:off x="0" y="0"/>
                      <a:ext cx="2491449" cy="2758714"/>
                    </a:xfrm>
                    <a:prstGeom prst="rect">
                      <a:avLst/>
                    </a:prstGeom>
                  </pic:spPr>
                </pic:pic>
              </a:graphicData>
            </a:graphic>
          </wp:inline>
        </w:drawing>
      </w:r>
    </w:p>
    <w:p w14:paraId="3B3D8164" w14:textId="77777777" w:rsidR="00C50B38" w:rsidRPr="00104989" w:rsidRDefault="00C50B38" w:rsidP="00104989">
      <w:pPr>
        <w:pStyle w:val="Heading2"/>
      </w:pPr>
      <w:bookmarkStart w:id="23" w:name="_Toc96511373"/>
      <w:r w:rsidRPr="004D339D">
        <w:rPr>
          <w:color w:val="000000" w:themeColor="text1"/>
        </w:rPr>
        <w:lastRenderedPageBreak/>
        <w:t>Description of Stockbridge A27 Roundabout AQMA</w:t>
      </w:r>
      <w:bookmarkEnd w:id="23"/>
    </w:p>
    <w:p w14:paraId="4199BC75" w14:textId="3C203742" w:rsidR="00C50B38" w:rsidRDefault="00B13E7D">
      <w:r>
        <w:t>Stockbridge roundabout is a four</w:t>
      </w:r>
      <w:r w:rsidR="005754DF">
        <w:t>-</w:t>
      </w:r>
      <w:r>
        <w:t xml:space="preserve">arm roundabout at the junction of the A286 and A27 and where the junctions </w:t>
      </w:r>
      <w:r w:rsidR="00DF7FC6">
        <w:t xml:space="preserve">are </w:t>
      </w:r>
      <w:r>
        <w:t>on North-West to South-East and North East to South West ax</w:t>
      </w:r>
      <w:r w:rsidR="009804EE">
        <w:t>e</w:t>
      </w:r>
      <w:r>
        <w:t>s</w:t>
      </w:r>
      <w:r w:rsidR="00DF7FC6">
        <w:t xml:space="preserve"> and the topography is broadly flat</w:t>
      </w:r>
      <w:r>
        <w:t xml:space="preserve">. The junction features residential receptor locations in close proximity and a high degree of </w:t>
      </w:r>
      <w:r w:rsidR="009804EE">
        <w:t xml:space="preserve">vehicle </w:t>
      </w:r>
      <w:r>
        <w:t xml:space="preserve">acceleration and deceleration in-to </w:t>
      </w:r>
      <w:r w:rsidR="009804EE">
        <w:t xml:space="preserve">and out-of </w:t>
      </w:r>
      <w:r>
        <w:t>the junction. The junction generally does not feature significant queues but at peak hour does feature queueing. The junction is also the dominant route to the peninsula’s sandy beaches and features significant congestion on sunny ‘beach days’ and when Goodwood is hosting large events</w:t>
      </w:r>
      <w:r w:rsidR="009804EE">
        <w:t xml:space="preserve"> which give rise to significant volumes of additional traffic</w:t>
      </w:r>
      <w:r>
        <w:t>.</w:t>
      </w:r>
    </w:p>
    <w:p w14:paraId="41DFBA42" w14:textId="77777777" w:rsidR="00B8630F" w:rsidRDefault="00B8630F" w:rsidP="00B8630F">
      <w:pPr>
        <w:spacing w:after="0"/>
      </w:pPr>
      <w:r w:rsidRPr="00711A88">
        <w:rPr>
          <w:b/>
        </w:rPr>
        <w:t xml:space="preserve">Plan </w:t>
      </w:r>
      <w:r w:rsidR="00711A88" w:rsidRPr="00711A88">
        <w:rPr>
          <w:b/>
        </w:rPr>
        <w:t>3</w:t>
      </w:r>
      <w:r w:rsidRPr="00711A88">
        <w:rPr>
          <w:b/>
        </w:rPr>
        <w:t>:</w:t>
      </w:r>
      <w:r>
        <w:t xml:space="preserve"> Stockbridge A27 Roundabout AQMA, Chichester:</w:t>
      </w:r>
    </w:p>
    <w:p w14:paraId="3EF94314" w14:textId="77777777" w:rsidR="00B8630F" w:rsidRDefault="00B8630F">
      <w:r>
        <w:rPr>
          <w:noProof/>
          <w:lang w:eastAsia="en-GB"/>
        </w:rPr>
        <w:drawing>
          <wp:inline distT="0" distB="0" distL="0" distR="0" wp14:anchorId="48D91032" wp14:editId="019A2D6B">
            <wp:extent cx="2502456" cy="2836459"/>
            <wp:effectExtent l="0" t="0" r="0" b="2540"/>
            <wp:docPr id="1" name="Picture 1" descr="Pla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lan 3"/>
                    <pic:cNvPicPr/>
                  </pic:nvPicPr>
                  <pic:blipFill>
                    <a:blip r:embed="rId25"/>
                    <a:stretch>
                      <a:fillRect/>
                    </a:stretch>
                  </pic:blipFill>
                  <pic:spPr>
                    <a:xfrm>
                      <a:off x="0" y="0"/>
                      <a:ext cx="2503402" cy="2837532"/>
                    </a:xfrm>
                    <a:prstGeom prst="rect">
                      <a:avLst/>
                    </a:prstGeom>
                  </pic:spPr>
                </pic:pic>
              </a:graphicData>
            </a:graphic>
          </wp:inline>
        </w:drawing>
      </w:r>
    </w:p>
    <w:p w14:paraId="7B8F2C94" w14:textId="77777777" w:rsidR="00C50B38" w:rsidRDefault="00C50B38" w:rsidP="00104989">
      <w:pPr>
        <w:pStyle w:val="Heading2"/>
      </w:pPr>
      <w:bookmarkStart w:id="24" w:name="_Toc96511374"/>
      <w:r w:rsidRPr="004D339D">
        <w:rPr>
          <w:color w:val="000000" w:themeColor="text1"/>
        </w:rPr>
        <w:t>Description of Rumbold’s Hill, Midhurst AQMA</w:t>
      </w:r>
      <w:bookmarkEnd w:id="24"/>
    </w:p>
    <w:p w14:paraId="3EAE338F" w14:textId="77777777" w:rsidR="00B13E7D" w:rsidRDefault="009804EE">
      <w:r>
        <w:t>Rumbold’s Hill is designated as both the A286 and A272 and the AQMA is declared for the full length of Rumbold’s Hill which runs, at its northern end, between North Street, Midhurst and the Pe</w:t>
      </w:r>
      <w:r w:rsidR="00655806">
        <w:t>te</w:t>
      </w:r>
      <w:r>
        <w:t xml:space="preserve">rsfield Road and Bepton Road junction at its southern most extent. The road is on a gentle slope rising from it’s northern end to the south and is narrow such that some vehicles are forced to stop to allow on-coming traffic to pass and such that it is a canyonised </w:t>
      </w:r>
      <w:r w:rsidR="00655806">
        <w:t>in relation to the adjacent residential and commercial buildings</w:t>
      </w:r>
      <w:r>
        <w:t>. Due to the constraints in the highway width</w:t>
      </w:r>
      <w:r w:rsidR="00655806">
        <w:t>, delivery vehicles stopping</w:t>
      </w:r>
      <w:r>
        <w:t xml:space="preserve"> </w:t>
      </w:r>
      <w:r w:rsidR="00655806">
        <w:t>on North Street, the need for vehicles to stop to allow passage for on-coming vehicles and traffic lights and junctions close to either end of Rumbold’s Hill then there</w:t>
      </w:r>
      <w:r w:rsidR="00970F5C">
        <w:t xml:space="preserve"> is</w:t>
      </w:r>
      <w:r w:rsidR="00655806">
        <w:t xml:space="preserve"> frequent queuing and stop start traffic.</w:t>
      </w:r>
    </w:p>
    <w:p w14:paraId="3BFCD04A" w14:textId="77777777" w:rsidR="00B8630F" w:rsidRDefault="00B8630F" w:rsidP="00B8630F">
      <w:pPr>
        <w:spacing w:after="0"/>
      </w:pPr>
      <w:r w:rsidRPr="00711A88">
        <w:rPr>
          <w:b/>
        </w:rPr>
        <w:t xml:space="preserve">Plan </w:t>
      </w:r>
      <w:r w:rsidR="00711A88" w:rsidRPr="00711A88">
        <w:rPr>
          <w:b/>
        </w:rPr>
        <w:t>4</w:t>
      </w:r>
      <w:r w:rsidRPr="00711A88">
        <w:rPr>
          <w:b/>
        </w:rPr>
        <w:t>:</w:t>
      </w:r>
      <w:r>
        <w:t xml:space="preserve"> Rumbold’s Hill AQMA, Midhurst:</w:t>
      </w:r>
    </w:p>
    <w:p w14:paraId="6CCF6A77" w14:textId="77777777" w:rsidR="00B8630F" w:rsidRDefault="00B8630F">
      <w:r>
        <w:rPr>
          <w:noProof/>
          <w:lang w:eastAsia="en-GB"/>
        </w:rPr>
        <w:lastRenderedPageBreak/>
        <w:drawing>
          <wp:inline distT="0" distB="0" distL="0" distR="0" wp14:anchorId="5A25FB61" wp14:editId="46F8B0F9">
            <wp:extent cx="3025246" cy="3518611"/>
            <wp:effectExtent l="0" t="0" r="3810" b="5715"/>
            <wp:docPr id="291" name="Picture 291" descr="pla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plan 4"/>
                    <pic:cNvPicPr/>
                  </pic:nvPicPr>
                  <pic:blipFill>
                    <a:blip r:embed="rId26"/>
                    <a:stretch>
                      <a:fillRect/>
                    </a:stretch>
                  </pic:blipFill>
                  <pic:spPr>
                    <a:xfrm>
                      <a:off x="0" y="0"/>
                      <a:ext cx="3025432" cy="3518828"/>
                    </a:xfrm>
                    <a:prstGeom prst="rect">
                      <a:avLst/>
                    </a:prstGeom>
                  </pic:spPr>
                </pic:pic>
              </a:graphicData>
            </a:graphic>
          </wp:inline>
        </w:drawing>
      </w:r>
    </w:p>
    <w:p w14:paraId="6C345149" w14:textId="77777777" w:rsidR="001B400F" w:rsidRDefault="001B400F" w:rsidP="00104989">
      <w:pPr>
        <w:pStyle w:val="Heading2"/>
      </w:pPr>
      <w:bookmarkStart w:id="25" w:name="_Toc96511375"/>
      <w:r w:rsidRPr="004D339D">
        <w:rPr>
          <w:color w:val="000000" w:themeColor="text1"/>
        </w:rPr>
        <w:t>Relevant exposure locations</w:t>
      </w:r>
      <w:bookmarkEnd w:id="25"/>
    </w:p>
    <w:p w14:paraId="2E1F59AD" w14:textId="19CEAD1D" w:rsidR="00A13586" w:rsidRDefault="001B400F" w:rsidP="00A13586">
      <w:r>
        <w:t>The</w:t>
      </w:r>
      <w:r w:rsidR="00741034">
        <w:t xml:space="preserve"> UK’s Air Quality Objectives</w:t>
      </w:r>
      <w:r>
        <w:t xml:space="preserve"> </w:t>
      </w:r>
      <w:r w:rsidR="00741034">
        <w:t>(</w:t>
      </w:r>
      <w:r>
        <w:t>AQO</w:t>
      </w:r>
      <w:r w:rsidR="00741034">
        <w:t>)</w:t>
      </w:r>
      <w:r>
        <w:t xml:space="preserve"> only apply </w:t>
      </w:r>
      <w:r w:rsidR="00A13586">
        <w:t>to prescribed locations and for the Annual Mean Standard for NO</w:t>
      </w:r>
      <w:r w:rsidR="00A13586" w:rsidRPr="00A13586">
        <w:rPr>
          <w:vertAlign w:val="subscript"/>
        </w:rPr>
        <w:t>2</w:t>
      </w:r>
      <w:r w:rsidR="00A13586">
        <w:t xml:space="preserve"> the key location is residential facades. As such table </w:t>
      </w:r>
      <w:r w:rsidR="00741034">
        <w:t>3</w:t>
      </w:r>
      <w:r w:rsidR="00A13586">
        <w:t xml:space="preserve"> below details the numbers of residential facades within the relevant AQMA boundary.</w:t>
      </w:r>
    </w:p>
    <w:p w14:paraId="03C01AF1" w14:textId="77777777" w:rsidR="005F4241" w:rsidRPr="005F4241" w:rsidRDefault="005F4241" w:rsidP="00B8630F">
      <w:pPr>
        <w:pStyle w:val="Caption"/>
        <w:keepNext/>
        <w:spacing w:after="0"/>
        <w:rPr>
          <w:b w:val="0"/>
          <w:bCs w:val="0"/>
          <w:color w:val="auto"/>
          <w:sz w:val="22"/>
          <w:szCs w:val="22"/>
        </w:rPr>
      </w:pPr>
      <w:r w:rsidRPr="005F4241">
        <w:rPr>
          <w:bCs w:val="0"/>
          <w:color w:val="auto"/>
          <w:sz w:val="22"/>
          <w:szCs w:val="22"/>
        </w:rPr>
        <w:t xml:space="preserve">Table </w:t>
      </w:r>
      <w:r w:rsidRPr="005F4241">
        <w:rPr>
          <w:bCs w:val="0"/>
          <w:color w:val="auto"/>
          <w:sz w:val="22"/>
          <w:szCs w:val="22"/>
        </w:rPr>
        <w:fldChar w:fldCharType="begin"/>
      </w:r>
      <w:r w:rsidRPr="005F4241">
        <w:rPr>
          <w:bCs w:val="0"/>
          <w:color w:val="auto"/>
          <w:sz w:val="22"/>
          <w:szCs w:val="22"/>
        </w:rPr>
        <w:instrText xml:space="preserve"> SEQ Table \* ARABIC </w:instrText>
      </w:r>
      <w:r w:rsidRPr="005F4241">
        <w:rPr>
          <w:bCs w:val="0"/>
          <w:color w:val="auto"/>
          <w:sz w:val="22"/>
          <w:szCs w:val="22"/>
        </w:rPr>
        <w:fldChar w:fldCharType="separate"/>
      </w:r>
      <w:r w:rsidR="00947DF1">
        <w:rPr>
          <w:bCs w:val="0"/>
          <w:noProof/>
          <w:color w:val="auto"/>
          <w:sz w:val="22"/>
          <w:szCs w:val="22"/>
        </w:rPr>
        <w:t>3</w:t>
      </w:r>
      <w:r w:rsidRPr="005F4241">
        <w:rPr>
          <w:bCs w:val="0"/>
          <w:color w:val="auto"/>
          <w:sz w:val="22"/>
          <w:szCs w:val="22"/>
        </w:rPr>
        <w:fldChar w:fldCharType="end"/>
      </w:r>
      <w:r w:rsidRPr="005F4241">
        <w:rPr>
          <w:bCs w:val="0"/>
          <w:color w:val="auto"/>
          <w:sz w:val="22"/>
          <w:szCs w:val="22"/>
        </w:rPr>
        <w:t>:</w:t>
      </w:r>
      <w:r w:rsidRPr="005F4241">
        <w:rPr>
          <w:b w:val="0"/>
          <w:bCs w:val="0"/>
          <w:color w:val="auto"/>
          <w:sz w:val="22"/>
          <w:szCs w:val="22"/>
        </w:rPr>
        <w:t xml:space="preserve"> Numbers of residential properties exposed in each AQMA</w:t>
      </w:r>
      <w:r w:rsidR="00B8630F">
        <w:rPr>
          <w:b w:val="0"/>
          <w:bCs w:val="0"/>
          <w:color w:val="auto"/>
          <w:sz w:val="22"/>
          <w:szCs w:val="22"/>
        </w:rPr>
        <w:t>:</w:t>
      </w:r>
    </w:p>
    <w:tbl>
      <w:tblPr>
        <w:tblStyle w:val="TableGrid"/>
        <w:tblW w:w="0" w:type="auto"/>
        <w:tblLook w:val="04A0" w:firstRow="1" w:lastRow="0" w:firstColumn="1" w:lastColumn="0" w:noHBand="0" w:noVBand="1"/>
      </w:tblPr>
      <w:tblGrid>
        <w:gridCol w:w="3652"/>
        <w:gridCol w:w="3686"/>
      </w:tblGrid>
      <w:tr w:rsidR="00EC2058" w14:paraId="6FA42415" w14:textId="77777777" w:rsidTr="00EC2058">
        <w:tc>
          <w:tcPr>
            <w:tcW w:w="3652" w:type="dxa"/>
          </w:tcPr>
          <w:p w14:paraId="7BD641E6" w14:textId="77777777" w:rsidR="00EC2058" w:rsidRPr="00EC2058" w:rsidRDefault="00EC2058">
            <w:pPr>
              <w:rPr>
                <w:b/>
              </w:rPr>
            </w:pPr>
            <w:r w:rsidRPr="00EC2058">
              <w:rPr>
                <w:b/>
              </w:rPr>
              <w:t>AQMA Location:</w:t>
            </w:r>
          </w:p>
        </w:tc>
        <w:tc>
          <w:tcPr>
            <w:tcW w:w="3686" w:type="dxa"/>
          </w:tcPr>
          <w:p w14:paraId="65AB1727" w14:textId="77777777" w:rsidR="00EC2058" w:rsidRPr="00EC2058" w:rsidRDefault="00EC2058" w:rsidP="00EC2058">
            <w:pPr>
              <w:rPr>
                <w:b/>
              </w:rPr>
            </w:pPr>
            <w:r w:rsidRPr="00EC2058">
              <w:rPr>
                <w:b/>
              </w:rPr>
              <w:t>Number of residential properties exposed:</w:t>
            </w:r>
          </w:p>
        </w:tc>
      </w:tr>
      <w:tr w:rsidR="00EC2058" w14:paraId="77074AD4" w14:textId="77777777" w:rsidTr="00EC2058">
        <w:tc>
          <w:tcPr>
            <w:tcW w:w="3652" w:type="dxa"/>
          </w:tcPr>
          <w:p w14:paraId="07092F92" w14:textId="77777777" w:rsidR="00EC2058" w:rsidRDefault="00EC2058">
            <w:r>
              <w:t>Stockbridge A27 Roundabout, Chichester</w:t>
            </w:r>
          </w:p>
        </w:tc>
        <w:tc>
          <w:tcPr>
            <w:tcW w:w="3686" w:type="dxa"/>
          </w:tcPr>
          <w:p w14:paraId="0672A3EC" w14:textId="77777777" w:rsidR="00EC2058" w:rsidRDefault="00EC2058">
            <w:r>
              <w:t>1 in AQMA (comprising 9 flats) (7 properties abutting)</w:t>
            </w:r>
          </w:p>
        </w:tc>
      </w:tr>
      <w:tr w:rsidR="00EC2058" w14:paraId="59AFABB2" w14:textId="77777777" w:rsidTr="00EC2058">
        <w:tc>
          <w:tcPr>
            <w:tcW w:w="3652" w:type="dxa"/>
          </w:tcPr>
          <w:p w14:paraId="6DCEACC3" w14:textId="77777777" w:rsidR="00EC2058" w:rsidRDefault="00EC2058">
            <w:r>
              <w:t>Orchard Street, Chichester</w:t>
            </w:r>
          </w:p>
        </w:tc>
        <w:tc>
          <w:tcPr>
            <w:tcW w:w="3686" w:type="dxa"/>
          </w:tcPr>
          <w:p w14:paraId="2CC69786" w14:textId="77777777" w:rsidR="00EC2058" w:rsidRDefault="00EC2058">
            <w:r>
              <w:t>73 properties (inc 2 properties abutting)</w:t>
            </w:r>
          </w:p>
        </w:tc>
      </w:tr>
      <w:tr w:rsidR="00EC2058" w14:paraId="20066280" w14:textId="77777777" w:rsidTr="00EC2058">
        <w:tc>
          <w:tcPr>
            <w:tcW w:w="3652" w:type="dxa"/>
          </w:tcPr>
          <w:p w14:paraId="435AB876" w14:textId="77777777" w:rsidR="00EC2058" w:rsidRDefault="00EC2058">
            <w:r>
              <w:t>St Pancras, Chichester</w:t>
            </w:r>
          </w:p>
        </w:tc>
        <w:tc>
          <w:tcPr>
            <w:tcW w:w="3686" w:type="dxa"/>
          </w:tcPr>
          <w:p w14:paraId="0A6356D2" w14:textId="77777777" w:rsidR="00EC2058" w:rsidRDefault="00EC2058" w:rsidP="00EC2058">
            <w:r>
              <w:t>32 properties (inc 6 flats and 1 property abutting)</w:t>
            </w:r>
          </w:p>
        </w:tc>
      </w:tr>
      <w:tr w:rsidR="00EC2058" w14:paraId="159008C3" w14:textId="77777777" w:rsidTr="00EC2058">
        <w:tc>
          <w:tcPr>
            <w:tcW w:w="3652" w:type="dxa"/>
          </w:tcPr>
          <w:p w14:paraId="2FFD826C" w14:textId="77777777" w:rsidR="00EC2058" w:rsidRDefault="00EC2058">
            <w:r>
              <w:t>Rumbold’s Hill, Midhurst</w:t>
            </w:r>
          </w:p>
        </w:tc>
        <w:tc>
          <w:tcPr>
            <w:tcW w:w="3686" w:type="dxa"/>
          </w:tcPr>
          <w:p w14:paraId="2B812C5F" w14:textId="77777777" w:rsidR="00EC2058" w:rsidRDefault="001B400F">
            <w:r w:rsidRPr="001B400F">
              <w:t>25 properties (including 16 flats) 1 property abutting</w:t>
            </w:r>
          </w:p>
        </w:tc>
      </w:tr>
    </w:tbl>
    <w:p w14:paraId="51ACE8EC" w14:textId="77777777" w:rsidR="00B16735" w:rsidRPr="004D339D" w:rsidRDefault="006A2D53" w:rsidP="00442FD7">
      <w:pPr>
        <w:pStyle w:val="Heading1"/>
        <w:numPr>
          <w:ilvl w:val="0"/>
          <w:numId w:val="25"/>
        </w:numPr>
        <w:rPr>
          <w:color w:val="000000" w:themeColor="text1"/>
        </w:rPr>
      </w:pPr>
      <w:bookmarkStart w:id="26" w:name="_Toc96511376"/>
      <w:r w:rsidRPr="004D339D">
        <w:rPr>
          <w:color w:val="000000" w:themeColor="text1"/>
        </w:rPr>
        <w:t xml:space="preserve">Summary of </w:t>
      </w:r>
      <w:r w:rsidR="00D066B0" w:rsidRPr="004D339D">
        <w:rPr>
          <w:color w:val="000000" w:themeColor="text1"/>
        </w:rPr>
        <w:t xml:space="preserve">Air Quality </w:t>
      </w:r>
      <w:r w:rsidRPr="004D339D">
        <w:rPr>
          <w:color w:val="000000" w:themeColor="text1"/>
        </w:rPr>
        <w:t xml:space="preserve">Monitoring in </w:t>
      </w:r>
      <w:r w:rsidR="0072788E" w:rsidRPr="004D339D">
        <w:rPr>
          <w:color w:val="000000" w:themeColor="text1"/>
        </w:rPr>
        <w:t>Chichester District</w:t>
      </w:r>
      <w:r w:rsidR="00D066B0" w:rsidRPr="004D339D">
        <w:rPr>
          <w:color w:val="000000" w:themeColor="text1"/>
        </w:rPr>
        <w:t>:</w:t>
      </w:r>
      <w:bookmarkEnd w:id="26"/>
    </w:p>
    <w:p w14:paraId="71707588" w14:textId="77777777" w:rsidR="00DF60BA" w:rsidRPr="00104989" w:rsidRDefault="00DF60BA" w:rsidP="00104989">
      <w:pPr>
        <w:pStyle w:val="Heading2"/>
      </w:pPr>
      <w:bookmarkStart w:id="27" w:name="_Toc96511377"/>
      <w:r w:rsidRPr="004D339D">
        <w:rPr>
          <w:color w:val="000000" w:themeColor="text1"/>
        </w:rPr>
        <w:t>Introduction</w:t>
      </w:r>
      <w:bookmarkEnd w:id="27"/>
    </w:p>
    <w:p w14:paraId="0259CD68" w14:textId="77777777" w:rsidR="00D83339" w:rsidRDefault="00D83339">
      <w:r w:rsidRPr="00D83339">
        <w:t xml:space="preserve">CDC currently has </w:t>
      </w:r>
      <w:r>
        <w:t xml:space="preserve">eighteen air quality monitoring locations using diffusion tubes to monitor Nitrogen Dioxide and four real-time air quality monitoring stations to monitor pollutants as listed in table </w:t>
      </w:r>
      <w:r w:rsidR="00711A88">
        <w:t xml:space="preserve">4 </w:t>
      </w:r>
      <w:r>
        <w:t>below:</w:t>
      </w:r>
    </w:p>
    <w:p w14:paraId="4A29D0F1" w14:textId="77777777" w:rsidR="005F4241" w:rsidRPr="005F4241" w:rsidRDefault="005F4241" w:rsidP="005F4241">
      <w:pPr>
        <w:pStyle w:val="Caption"/>
        <w:keepNext/>
        <w:rPr>
          <w:b w:val="0"/>
          <w:bCs w:val="0"/>
          <w:color w:val="auto"/>
          <w:sz w:val="22"/>
          <w:szCs w:val="22"/>
        </w:rPr>
      </w:pPr>
      <w:r w:rsidRPr="005F4241">
        <w:rPr>
          <w:bCs w:val="0"/>
          <w:color w:val="auto"/>
          <w:sz w:val="22"/>
          <w:szCs w:val="22"/>
        </w:rPr>
        <w:t xml:space="preserve">Table </w:t>
      </w:r>
      <w:r w:rsidRPr="005F4241">
        <w:rPr>
          <w:bCs w:val="0"/>
          <w:color w:val="auto"/>
          <w:sz w:val="22"/>
          <w:szCs w:val="22"/>
        </w:rPr>
        <w:fldChar w:fldCharType="begin"/>
      </w:r>
      <w:r w:rsidRPr="005F4241">
        <w:rPr>
          <w:bCs w:val="0"/>
          <w:color w:val="auto"/>
          <w:sz w:val="22"/>
          <w:szCs w:val="22"/>
        </w:rPr>
        <w:instrText xml:space="preserve"> SEQ Table \* ARABIC </w:instrText>
      </w:r>
      <w:r w:rsidRPr="005F4241">
        <w:rPr>
          <w:bCs w:val="0"/>
          <w:color w:val="auto"/>
          <w:sz w:val="22"/>
          <w:szCs w:val="22"/>
        </w:rPr>
        <w:fldChar w:fldCharType="separate"/>
      </w:r>
      <w:r w:rsidR="00947DF1">
        <w:rPr>
          <w:bCs w:val="0"/>
          <w:noProof/>
          <w:color w:val="auto"/>
          <w:sz w:val="22"/>
          <w:szCs w:val="22"/>
        </w:rPr>
        <w:t>4</w:t>
      </w:r>
      <w:r w:rsidRPr="005F4241">
        <w:rPr>
          <w:bCs w:val="0"/>
          <w:color w:val="auto"/>
          <w:sz w:val="22"/>
          <w:szCs w:val="22"/>
        </w:rPr>
        <w:fldChar w:fldCharType="end"/>
      </w:r>
      <w:r w:rsidRPr="005F4241">
        <w:rPr>
          <w:bCs w:val="0"/>
          <w:color w:val="auto"/>
          <w:sz w:val="22"/>
          <w:szCs w:val="22"/>
        </w:rPr>
        <w:t>:</w:t>
      </w:r>
      <w:r w:rsidRPr="005F4241">
        <w:rPr>
          <w:b w:val="0"/>
          <w:bCs w:val="0"/>
          <w:color w:val="auto"/>
          <w:sz w:val="22"/>
          <w:szCs w:val="22"/>
        </w:rPr>
        <w:t xml:space="preserve"> Real-time air quality monitoring stations and the pollutants that they measure</w:t>
      </w:r>
    </w:p>
    <w:tbl>
      <w:tblPr>
        <w:tblStyle w:val="TableGrid"/>
        <w:tblW w:w="0" w:type="auto"/>
        <w:tblLook w:val="04A0" w:firstRow="1" w:lastRow="0" w:firstColumn="1" w:lastColumn="0" w:noHBand="0" w:noVBand="1"/>
      </w:tblPr>
      <w:tblGrid>
        <w:gridCol w:w="4515"/>
        <w:gridCol w:w="4501"/>
      </w:tblGrid>
      <w:tr w:rsidR="00D83339" w14:paraId="270776EE" w14:textId="77777777" w:rsidTr="00D83339">
        <w:tc>
          <w:tcPr>
            <w:tcW w:w="4621" w:type="dxa"/>
          </w:tcPr>
          <w:p w14:paraId="4141964E" w14:textId="77777777" w:rsidR="00D83339" w:rsidRPr="00C212D3" w:rsidRDefault="00D83339" w:rsidP="00C212D3">
            <w:pPr>
              <w:rPr>
                <w:b/>
              </w:rPr>
            </w:pPr>
            <w:r w:rsidRPr="00C212D3">
              <w:rPr>
                <w:b/>
              </w:rPr>
              <w:t xml:space="preserve">Air quality </w:t>
            </w:r>
            <w:r w:rsidR="00C212D3" w:rsidRPr="00C212D3">
              <w:rPr>
                <w:b/>
              </w:rPr>
              <w:t>monitoring station location:</w:t>
            </w:r>
          </w:p>
        </w:tc>
        <w:tc>
          <w:tcPr>
            <w:tcW w:w="4621" w:type="dxa"/>
          </w:tcPr>
          <w:p w14:paraId="0C2FF645" w14:textId="77777777" w:rsidR="00D83339" w:rsidRPr="00C212D3" w:rsidRDefault="00C212D3">
            <w:pPr>
              <w:rPr>
                <w:b/>
              </w:rPr>
            </w:pPr>
            <w:r w:rsidRPr="00C212D3">
              <w:rPr>
                <w:b/>
              </w:rPr>
              <w:t>Pollutants measured:</w:t>
            </w:r>
          </w:p>
        </w:tc>
      </w:tr>
      <w:tr w:rsidR="00D83339" w14:paraId="0ACC0540" w14:textId="77777777" w:rsidTr="00D83339">
        <w:tc>
          <w:tcPr>
            <w:tcW w:w="4621" w:type="dxa"/>
          </w:tcPr>
          <w:p w14:paraId="646A5556" w14:textId="77777777" w:rsidR="00D83339" w:rsidRDefault="00C212D3" w:rsidP="00C212D3">
            <w:r>
              <w:lastRenderedPageBreak/>
              <w:t>A27 Stockbridge layby</w:t>
            </w:r>
            <w:r>
              <w:rPr>
                <w:rStyle w:val="FootnoteReference"/>
              </w:rPr>
              <w:footnoteReference w:id="18"/>
            </w:r>
            <w:r>
              <w:t>, Chichester</w:t>
            </w:r>
          </w:p>
        </w:tc>
        <w:tc>
          <w:tcPr>
            <w:tcW w:w="4621" w:type="dxa"/>
          </w:tcPr>
          <w:p w14:paraId="5E58AC04" w14:textId="77777777" w:rsidR="00D83339" w:rsidRDefault="00C212D3">
            <w:r>
              <w:t>PM</w:t>
            </w:r>
            <w:r w:rsidRPr="00C212D3">
              <w:rPr>
                <w:vertAlign w:val="subscript"/>
              </w:rPr>
              <w:t>10</w:t>
            </w:r>
            <w:r>
              <w:t>, NO</w:t>
            </w:r>
            <w:r w:rsidRPr="00C212D3">
              <w:rPr>
                <w:vertAlign w:val="subscript"/>
              </w:rPr>
              <w:t>2</w:t>
            </w:r>
          </w:p>
        </w:tc>
      </w:tr>
      <w:tr w:rsidR="00D83339" w14:paraId="64444B79" w14:textId="77777777" w:rsidTr="00D83339">
        <w:tc>
          <w:tcPr>
            <w:tcW w:w="4621" w:type="dxa"/>
          </w:tcPr>
          <w:p w14:paraId="4FF21C06" w14:textId="77777777" w:rsidR="00D83339" w:rsidRDefault="00C212D3">
            <w:r>
              <w:t>Orchard Street, Chichester</w:t>
            </w:r>
          </w:p>
        </w:tc>
        <w:tc>
          <w:tcPr>
            <w:tcW w:w="4621" w:type="dxa"/>
          </w:tcPr>
          <w:p w14:paraId="1629FFBA" w14:textId="77777777" w:rsidR="00D83339" w:rsidRDefault="00C212D3">
            <w:r>
              <w:t>NO</w:t>
            </w:r>
            <w:r w:rsidRPr="00C212D3">
              <w:rPr>
                <w:vertAlign w:val="subscript"/>
              </w:rPr>
              <w:t>2</w:t>
            </w:r>
          </w:p>
        </w:tc>
      </w:tr>
      <w:tr w:rsidR="00D83339" w14:paraId="60E143D3" w14:textId="77777777" w:rsidTr="00D83339">
        <w:tc>
          <w:tcPr>
            <w:tcW w:w="4621" w:type="dxa"/>
          </w:tcPr>
          <w:p w14:paraId="2B10570C" w14:textId="77777777" w:rsidR="00D83339" w:rsidRDefault="00C212D3">
            <w:r>
              <w:t>Westhampnett Road, Chichester</w:t>
            </w:r>
          </w:p>
        </w:tc>
        <w:tc>
          <w:tcPr>
            <w:tcW w:w="4621" w:type="dxa"/>
          </w:tcPr>
          <w:p w14:paraId="2CE82507" w14:textId="77777777" w:rsidR="00D83339" w:rsidRDefault="00C212D3">
            <w:r>
              <w:t>NO</w:t>
            </w:r>
            <w:r w:rsidRPr="00C212D3">
              <w:rPr>
                <w:vertAlign w:val="subscript"/>
              </w:rPr>
              <w:t>2</w:t>
            </w:r>
          </w:p>
        </w:tc>
      </w:tr>
      <w:tr w:rsidR="00C212D3" w14:paraId="07D0BB99" w14:textId="77777777" w:rsidTr="00D83339">
        <w:tc>
          <w:tcPr>
            <w:tcW w:w="4621" w:type="dxa"/>
          </w:tcPr>
          <w:p w14:paraId="3CF3DE07" w14:textId="77777777" w:rsidR="00C212D3" w:rsidRDefault="00C212D3">
            <w:r>
              <w:t>Lodsworth, Chichester</w:t>
            </w:r>
          </w:p>
        </w:tc>
        <w:tc>
          <w:tcPr>
            <w:tcW w:w="4621" w:type="dxa"/>
          </w:tcPr>
          <w:p w14:paraId="72998D5A" w14:textId="77777777" w:rsidR="00C212D3" w:rsidRDefault="00C212D3">
            <w:r>
              <w:t>O</w:t>
            </w:r>
            <w:r w:rsidRPr="00C212D3">
              <w:rPr>
                <w:vertAlign w:val="subscript"/>
              </w:rPr>
              <w:t>3</w:t>
            </w:r>
          </w:p>
        </w:tc>
      </w:tr>
    </w:tbl>
    <w:p w14:paraId="6DB98078" w14:textId="77777777" w:rsidR="00BF1879" w:rsidRDefault="00BF1879" w:rsidP="00643FA8">
      <w:pPr>
        <w:spacing w:after="0"/>
      </w:pPr>
    </w:p>
    <w:p w14:paraId="00827C06" w14:textId="77777777" w:rsidR="00C212D3" w:rsidRDefault="00FD7D77" w:rsidP="00643FA8">
      <w:pPr>
        <w:spacing w:after="0"/>
      </w:pPr>
      <w:r>
        <w:t xml:space="preserve">Note: The whole data-set of real-time air quality monitoring data for CDC and all Sussex air quality monitoring stations is available at: </w:t>
      </w:r>
      <w:hyperlink r:id="rId27" w:history="1">
        <w:r>
          <w:rPr>
            <w:rStyle w:val="Hyperlink"/>
          </w:rPr>
          <w:t>http://www.sussex-air.net/</w:t>
        </w:r>
      </w:hyperlink>
    </w:p>
    <w:p w14:paraId="28DCB28B" w14:textId="77777777" w:rsidR="00FD7D77" w:rsidRDefault="00FD7D77" w:rsidP="00643FA8">
      <w:pPr>
        <w:spacing w:after="0"/>
      </w:pPr>
    </w:p>
    <w:p w14:paraId="35BA5976" w14:textId="77777777" w:rsidR="00DF60BA" w:rsidRDefault="00DF60BA" w:rsidP="00643FA8">
      <w:pPr>
        <w:spacing w:after="0"/>
      </w:pPr>
      <w:r>
        <w:t xml:space="preserve">Whilst we are appropriately resourced for air quality monitoring we are unable to monitor ‘everywhere’. </w:t>
      </w:r>
      <w:r w:rsidR="00932E50">
        <w:t>Over the years we have monitored in many additional locations. In locations where we have found air pollution concentrations to be highly compliant with the Objectives then we have discontinued monitoring there and often redeployed that resource to monitor at other locations of interest.</w:t>
      </w:r>
    </w:p>
    <w:p w14:paraId="4906D67A" w14:textId="77777777" w:rsidR="00DF60BA" w:rsidRDefault="00DF60BA" w:rsidP="00643FA8">
      <w:pPr>
        <w:spacing w:after="0"/>
      </w:pPr>
    </w:p>
    <w:p w14:paraId="265ED6F2" w14:textId="77777777" w:rsidR="00C212D3" w:rsidRDefault="00FD7D77" w:rsidP="00C212D3">
      <w:pPr>
        <w:spacing w:after="0"/>
      </w:pPr>
      <w:r>
        <w:t xml:space="preserve">An annual summary of our </w:t>
      </w:r>
      <w:r w:rsidR="00C212D3">
        <w:t>air quality monitoring data is reported in the statutorily required Annual Status Report</w:t>
      </w:r>
      <w:r w:rsidR="00C212D3">
        <w:rPr>
          <w:rStyle w:val="FootnoteReference"/>
        </w:rPr>
        <w:footnoteReference w:id="19"/>
      </w:r>
      <w:r w:rsidR="00112F91">
        <w:t xml:space="preserve"> (ASR).</w:t>
      </w:r>
      <w:r w:rsidR="00C212D3">
        <w:t xml:space="preserve"> </w:t>
      </w:r>
      <w:r w:rsidR="00643FA8">
        <w:t>This report is submitted to DEFRA who audit the report and our progress on delivery of the AQAP.</w:t>
      </w:r>
      <w:r w:rsidR="00112F91">
        <w:t xml:space="preserve"> The ASR includes plans of all monitoring locations.</w:t>
      </w:r>
    </w:p>
    <w:p w14:paraId="1F68C67A" w14:textId="77777777" w:rsidR="00C212D3" w:rsidRDefault="00C212D3" w:rsidP="00C212D3">
      <w:pPr>
        <w:spacing w:after="0"/>
      </w:pPr>
    </w:p>
    <w:p w14:paraId="1192F184" w14:textId="3BB596F9" w:rsidR="00643FA8" w:rsidRDefault="00070E1F" w:rsidP="00C212D3">
      <w:pPr>
        <w:spacing w:after="0"/>
      </w:pPr>
      <w:r>
        <w:t>Air quality monitoring is the pre-eminent evidence in considering local air quality in relation to the UK’s air quality objectives. It tells us what airborne concentrations of pollutants there have been over defined periods</w:t>
      </w:r>
      <w:r w:rsidR="003B2ED7">
        <w:t xml:space="preserve">, specific to the </w:t>
      </w:r>
      <w:r>
        <w:t xml:space="preserve">monitoring locations. </w:t>
      </w:r>
      <w:r w:rsidR="00FD7D77">
        <w:t>CDC has approximately twenty years’ worth of monitoring data and the recent years</w:t>
      </w:r>
      <w:r w:rsidR="002A2907">
        <w:t>’</w:t>
      </w:r>
      <w:r w:rsidR="00FD7D77">
        <w:t xml:space="preserve"> reports are available on CDC’s webpages. </w:t>
      </w:r>
      <w:r w:rsidR="00071ADC">
        <w:t xml:space="preserve">This data is the foundation of </w:t>
      </w:r>
      <w:r w:rsidR="00DF60BA">
        <w:t>making an informed policy response to the local air quality challenges that are expressed through the data-set.</w:t>
      </w:r>
      <w:r w:rsidR="00112F91">
        <w:t xml:space="preserve"> It was also the principle evidence for the declaration of the AQMAs.</w:t>
      </w:r>
    </w:p>
    <w:p w14:paraId="4D481B76" w14:textId="77777777" w:rsidR="00FD7D77" w:rsidRDefault="00FD7D77" w:rsidP="00C212D3">
      <w:pPr>
        <w:spacing w:after="0"/>
      </w:pPr>
    </w:p>
    <w:p w14:paraId="625254C8" w14:textId="77777777" w:rsidR="00FD7D77" w:rsidRDefault="00FD7D77" w:rsidP="00C212D3">
      <w:pPr>
        <w:spacing w:after="0"/>
      </w:pPr>
      <w:r>
        <w:t xml:space="preserve">Monitoring in the same locations across time allows us to see trends in the data-set. These trends are </w:t>
      </w:r>
      <w:r w:rsidR="00A148E8">
        <w:t xml:space="preserve">important in considering the weight of ‘air quality’ as a policy area and how it influences related policy areas such as land-use planning, highways planning and transport. </w:t>
      </w:r>
    </w:p>
    <w:p w14:paraId="0B8B7179" w14:textId="77777777" w:rsidR="00A148E8" w:rsidRDefault="00A148E8" w:rsidP="00C212D3">
      <w:pPr>
        <w:spacing w:after="0"/>
      </w:pPr>
    </w:p>
    <w:p w14:paraId="7F8CE93F" w14:textId="77777777" w:rsidR="00071ADC" w:rsidRDefault="00071ADC" w:rsidP="00C212D3">
      <w:pPr>
        <w:spacing w:after="0"/>
      </w:pPr>
      <w:r>
        <w:t xml:space="preserve">Air quality monitoring only tells us about the past, what </w:t>
      </w:r>
      <w:r w:rsidR="00DF60BA">
        <w:t xml:space="preserve">airborne </w:t>
      </w:r>
      <w:r>
        <w:t xml:space="preserve">concentrations of pollutants ‘have been’. Of course our AQAP is all about influencing the future of air quality. As such we need to augment our understanding of past air quality, garnered from our air quality monitoring data, with an understanding of what we predict air quality to do in the future. As such we </w:t>
      </w:r>
      <w:r w:rsidR="00DF60BA">
        <w:t xml:space="preserve">commissioned a consultancy to provide CDC with air quality modelling expertise. The outputs of the modelling are discussed at </w:t>
      </w:r>
      <w:r w:rsidR="00711A88">
        <w:t>section 12</w:t>
      </w:r>
      <w:r w:rsidR="00DF60BA">
        <w:t xml:space="preserve"> in this report. Nevertheless the air quality model is calibrated by reference to our monitoring data and so again we see the importance of our monitoring data in shaping our understanding of both the past, present and future of Chichester district’s air pollution.</w:t>
      </w:r>
    </w:p>
    <w:p w14:paraId="5BDD223A" w14:textId="77777777" w:rsidR="00112F91" w:rsidRDefault="00112F91" w:rsidP="00C212D3">
      <w:pPr>
        <w:spacing w:after="0"/>
      </w:pPr>
    </w:p>
    <w:p w14:paraId="4D76ED27" w14:textId="77777777" w:rsidR="00112F91" w:rsidRDefault="00112F91" w:rsidP="00C212D3">
      <w:pPr>
        <w:spacing w:after="0"/>
      </w:pPr>
      <w:r>
        <w:t>Covid-19 has significantly impacted on economic activity, especially through the mandated lockdown periods. The significantly lower traffic volumes through-out 2020 and into 2021 will impact on air pollution concentrations, nevertheless all of the monitoring data presented in this report is preCovid-19 and therefore unaffected</w:t>
      </w:r>
      <w:r w:rsidR="009F60C4">
        <w:t xml:space="preserve"> by this </w:t>
      </w:r>
      <w:r w:rsidR="00BF1879">
        <w:t>consideration</w:t>
      </w:r>
      <w:r>
        <w:t>.</w:t>
      </w:r>
    </w:p>
    <w:p w14:paraId="6674C217" w14:textId="77777777" w:rsidR="00C212D3" w:rsidRPr="00D83339" w:rsidRDefault="00C212D3" w:rsidP="00C212D3">
      <w:pPr>
        <w:spacing w:after="0"/>
      </w:pPr>
    </w:p>
    <w:p w14:paraId="2846CCCA" w14:textId="77777777" w:rsidR="00D83339" w:rsidRDefault="00D83339" w:rsidP="00104989">
      <w:pPr>
        <w:pStyle w:val="Heading2"/>
      </w:pPr>
      <w:bookmarkStart w:id="28" w:name="_Toc96511378"/>
      <w:r w:rsidRPr="004D339D">
        <w:rPr>
          <w:color w:val="000000" w:themeColor="text1"/>
        </w:rPr>
        <w:t>Air quality monitoring at ‘background sites’</w:t>
      </w:r>
      <w:bookmarkEnd w:id="28"/>
    </w:p>
    <w:p w14:paraId="3F2B3275" w14:textId="77777777" w:rsidR="00D83339" w:rsidRDefault="00932E50">
      <w:r>
        <w:t xml:space="preserve">Broadly speaking air pollution consists of two components; local air pollution, from traffic, industry, bonfires, domestic emissions and agriculture </w:t>
      </w:r>
      <w:r w:rsidR="00DD2AFF">
        <w:t xml:space="preserve">etc </w:t>
      </w:r>
      <w:r>
        <w:t>– and – a ‘background’ component, which is pollution that may come from many hundreds of miles away and which arrives on the advected air mass, or, more simply</w:t>
      </w:r>
      <w:r w:rsidR="00DD2AFF">
        <w:t xml:space="preserve"> put,</w:t>
      </w:r>
      <w:r>
        <w:t xml:space="preserve"> is </w:t>
      </w:r>
      <w:r w:rsidR="00DD2AFF">
        <w:t xml:space="preserve">pollution </w:t>
      </w:r>
      <w:r>
        <w:t xml:space="preserve">blown </w:t>
      </w:r>
      <w:r w:rsidR="00DD2AFF">
        <w:t xml:space="preserve">by the wind </w:t>
      </w:r>
      <w:r>
        <w:t>from distant locations</w:t>
      </w:r>
      <w:r w:rsidR="00234841">
        <w:rPr>
          <w:rStyle w:val="FootnoteReference"/>
        </w:rPr>
        <w:footnoteReference w:id="20"/>
      </w:r>
      <w:r>
        <w:t xml:space="preserve">. It is very difficult to measure only the background pollution but it is possible to </w:t>
      </w:r>
      <w:r w:rsidR="00DD2AFF">
        <w:t>monitor in locations where the impact of local pollution is minimal</w:t>
      </w:r>
      <w:r w:rsidR="00BD5B5B">
        <w:rPr>
          <w:rStyle w:val="FootnoteReference"/>
        </w:rPr>
        <w:footnoteReference w:id="21"/>
      </w:r>
      <w:r w:rsidR="00DD2AFF">
        <w:t xml:space="preserve">. CDC has two such locations, at North Street, Chichester and Cleveland Road, Chichester where we have long-term diffusion tube monitoring locations. </w:t>
      </w:r>
      <w:r w:rsidR="00890E2F">
        <w:t>We only have ‘background sites’ for NO</w:t>
      </w:r>
      <w:r w:rsidR="00890E2F" w:rsidRPr="00890E2F">
        <w:rPr>
          <w:vertAlign w:val="subscript"/>
        </w:rPr>
        <w:t>2</w:t>
      </w:r>
      <w:r w:rsidR="00890E2F">
        <w:t>.</w:t>
      </w:r>
    </w:p>
    <w:p w14:paraId="773B7A82" w14:textId="77777777" w:rsidR="00DD2AFF" w:rsidRDefault="00DD2AFF">
      <w:r>
        <w:t xml:space="preserve">Graph </w:t>
      </w:r>
      <w:r w:rsidR="006D6E00">
        <w:t>i</w:t>
      </w:r>
      <w:r>
        <w:t xml:space="preserve"> below shows the last nine years’ worth of data from these two locations. </w:t>
      </w:r>
    </w:p>
    <w:p w14:paraId="279AC4F9" w14:textId="77777777" w:rsidR="00D7049B" w:rsidRDefault="00D7049B" w:rsidP="00DD2AFF">
      <w:pPr>
        <w:spacing w:after="0"/>
        <w:rPr>
          <w:b/>
        </w:rPr>
      </w:pPr>
    </w:p>
    <w:p w14:paraId="3FD7BC6C" w14:textId="6EEA2503" w:rsidR="00DD2AFF" w:rsidRDefault="00DD2AFF" w:rsidP="00DD2AFF">
      <w:pPr>
        <w:spacing w:after="0"/>
      </w:pPr>
      <w:r w:rsidRPr="006D6E00">
        <w:rPr>
          <w:b/>
        </w:rPr>
        <w:t xml:space="preserve">Graph </w:t>
      </w:r>
      <w:r w:rsidR="006D6E00" w:rsidRPr="006D6E00">
        <w:rPr>
          <w:b/>
        </w:rPr>
        <w:t>i</w:t>
      </w:r>
      <w:r w:rsidRPr="006D6E00">
        <w:rPr>
          <w:b/>
        </w:rPr>
        <w:t>:</w:t>
      </w:r>
      <w:r>
        <w:t xml:space="preserve"> Urban background air quality monitoring sites (NO</w:t>
      </w:r>
      <w:r w:rsidRPr="00DD2AFF">
        <w:rPr>
          <w:vertAlign w:val="subscript"/>
        </w:rPr>
        <w:t>2</w:t>
      </w:r>
      <w:r>
        <w:t>).</w:t>
      </w:r>
    </w:p>
    <w:p w14:paraId="526443FD" w14:textId="77777777" w:rsidR="00DD2AFF" w:rsidRDefault="00DD2AFF">
      <w:r>
        <w:rPr>
          <w:noProof/>
          <w:lang w:eastAsia="en-GB"/>
        </w:rPr>
        <w:drawing>
          <wp:inline distT="0" distB="0" distL="0" distR="0" wp14:anchorId="1C8812EC" wp14:editId="3C0021E1">
            <wp:extent cx="4493051" cy="2488759"/>
            <wp:effectExtent l="0" t="0" r="3175" b="6985"/>
            <wp:docPr id="2" name="Picture 2" descr="Graph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 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92463" cy="2488433"/>
                    </a:xfrm>
                    <a:prstGeom prst="rect">
                      <a:avLst/>
                    </a:prstGeom>
                    <a:noFill/>
                  </pic:spPr>
                </pic:pic>
              </a:graphicData>
            </a:graphic>
          </wp:inline>
        </w:drawing>
      </w:r>
    </w:p>
    <w:p w14:paraId="6B91290F" w14:textId="577771B6" w:rsidR="00DD2AFF" w:rsidRDefault="00DD2AFF">
      <w:r>
        <w:t>The graph clearly shows a trend of gently, but significantly improving air quality. This is important as it suggests that wider policy measures at a national and international level of government</w:t>
      </w:r>
      <w:r w:rsidR="00234841">
        <w:t>(s)</w:t>
      </w:r>
      <w:r>
        <w:t xml:space="preserve"> </w:t>
      </w:r>
      <w:r w:rsidR="009F60C4">
        <w:t>are</w:t>
      </w:r>
      <w:r>
        <w:t xml:space="preserve"> causing improvements in the air quality that is ‘imported’ into Chichester District. Of course there are many variables at play here but a recent and significant variable is likely to be the impact of Covid</w:t>
      </w:r>
      <w:r w:rsidR="00006E20">
        <w:t>-</w:t>
      </w:r>
      <w:r>
        <w:t xml:space="preserve">19 on economic output. Whilst there is an increasing de-coupling of economic output and </w:t>
      </w:r>
      <w:r w:rsidR="00006E20">
        <w:t xml:space="preserve">environmental </w:t>
      </w:r>
      <w:r w:rsidR="00D7049B">
        <w:t>impact</w:t>
      </w:r>
      <w:r w:rsidR="00006E20">
        <w:t xml:space="preserve">, it seems likely that the economic slow-down associated with the Covid-19 pandemic </w:t>
      </w:r>
      <w:r w:rsidR="00D7049B">
        <w:t xml:space="preserve">has </w:t>
      </w:r>
      <w:r w:rsidR="00006E20">
        <w:t>cause</w:t>
      </w:r>
      <w:r w:rsidR="00D7049B">
        <w:t>d</w:t>
      </w:r>
      <w:r w:rsidR="00006E20">
        <w:t xml:space="preserve"> a drop in emissions with a commensurate improvement in air quality. As such it seems probable that local background air pollution concentrations will be sustained or be improved. </w:t>
      </w:r>
      <w:r w:rsidR="004366EE">
        <w:t>Nevertheless DEFRA’s predictions for background NO</w:t>
      </w:r>
      <w:r w:rsidR="004366EE" w:rsidRPr="004366EE">
        <w:rPr>
          <w:vertAlign w:val="subscript"/>
        </w:rPr>
        <w:t>2</w:t>
      </w:r>
      <w:r w:rsidR="004366EE">
        <w:t xml:space="preserve"> concentrations, stated as an </w:t>
      </w:r>
      <w:r w:rsidR="004366EE">
        <w:lastRenderedPageBreak/>
        <w:t>average value for Chichester district show a slowing of the improvement in background NO</w:t>
      </w:r>
      <w:r w:rsidR="004366EE" w:rsidRPr="00234841">
        <w:rPr>
          <w:vertAlign w:val="subscript"/>
        </w:rPr>
        <w:t>2</w:t>
      </w:r>
      <w:r w:rsidR="004366EE">
        <w:t xml:space="preserve"> levels compared to 2017 – 2021 (see Graph </w:t>
      </w:r>
      <w:r w:rsidR="00711A88">
        <w:t>ii</w:t>
      </w:r>
      <w:r w:rsidR="004366EE">
        <w:t>). These values are not adjusted for the impact of Covid-19.</w:t>
      </w:r>
    </w:p>
    <w:p w14:paraId="3AE110B9" w14:textId="54F0022A" w:rsidR="004366EE" w:rsidRDefault="004366EE" w:rsidP="004366EE">
      <w:pPr>
        <w:spacing w:after="0"/>
      </w:pPr>
      <w:r w:rsidRPr="006D6E00">
        <w:rPr>
          <w:b/>
        </w:rPr>
        <w:t xml:space="preserve">Graph </w:t>
      </w:r>
      <w:r w:rsidR="006D6E00" w:rsidRPr="006D6E00">
        <w:rPr>
          <w:b/>
        </w:rPr>
        <w:t>ii</w:t>
      </w:r>
      <w:r>
        <w:t>: DEFRA background pollution concentrations 2017 - 2027</w:t>
      </w:r>
      <w:r w:rsidR="00843A0C">
        <w:rPr>
          <w:rStyle w:val="FootnoteReference"/>
        </w:rPr>
        <w:footnoteReference w:id="22"/>
      </w:r>
      <w:r w:rsidR="00D7049B" w:rsidRPr="00C8232C">
        <w:rPr>
          <w:vertAlign w:val="superscript"/>
        </w:rPr>
        <w:t>,</w:t>
      </w:r>
      <w:r w:rsidR="00D7049B">
        <w:t xml:space="preserve"> </w:t>
      </w:r>
      <w:r>
        <w:rPr>
          <w:rStyle w:val="FootnoteReference"/>
        </w:rPr>
        <w:footnoteReference w:id="23"/>
      </w:r>
    </w:p>
    <w:p w14:paraId="674B4ED0" w14:textId="77777777" w:rsidR="004366EE" w:rsidRDefault="004366EE" w:rsidP="004366EE">
      <w:r>
        <w:rPr>
          <w:noProof/>
          <w:lang w:eastAsia="en-GB"/>
        </w:rPr>
        <w:drawing>
          <wp:inline distT="0" distB="0" distL="0" distR="0" wp14:anchorId="6A14228F" wp14:editId="5B6E2D3F">
            <wp:extent cx="3985456" cy="2449001"/>
            <wp:effectExtent l="0" t="0" r="0" b="8890"/>
            <wp:docPr id="4" name="Picture 4" descr="graph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 ii"/>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92314" cy="2453215"/>
                    </a:xfrm>
                    <a:prstGeom prst="rect">
                      <a:avLst/>
                    </a:prstGeom>
                    <a:noFill/>
                  </pic:spPr>
                </pic:pic>
              </a:graphicData>
            </a:graphic>
          </wp:inline>
        </w:drawing>
      </w:r>
    </w:p>
    <w:p w14:paraId="4F1B77F3" w14:textId="77777777" w:rsidR="004366EE" w:rsidRDefault="004366EE" w:rsidP="00104989">
      <w:pPr>
        <w:pStyle w:val="Heading2"/>
      </w:pPr>
      <w:bookmarkStart w:id="29" w:name="_Toc96511379"/>
      <w:r w:rsidRPr="004D339D">
        <w:rPr>
          <w:color w:val="000000" w:themeColor="text1"/>
        </w:rPr>
        <w:t xml:space="preserve">Nitrogen Dioxide </w:t>
      </w:r>
      <w:r w:rsidR="00843A0C" w:rsidRPr="004D339D">
        <w:rPr>
          <w:color w:val="000000" w:themeColor="text1"/>
        </w:rPr>
        <w:t>overall</w:t>
      </w:r>
      <w:r w:rsidRPr="004D339D">
        <w:rPr>
          <w:color w:val="000000" w:themeColor="text1"/>
        </w:rPr>
        <w:t xml:space="preserve"> data trend</w:t>
      </w:r>
      <w:bookmarkEnd w:id="29"/>
    </w:p>
    <w:p w14:paraId="6BD57ED0" w14:textId="1C523AAC" w:rsidR="004366EE" w:rsidRDefault="00843A0C">
      <w:r>
        <w:t>There are many variables that affect air quality monitoring data such that all data is very specific to the location at which it was measured. As such, without detailed scientific analysis of the data,  ‘seeing’ trends accurately is fraught with challenges. One way of partially seeing through the ‘noise’ created by these variables is to average all of the available data</w:t>
      </w:r>
      <w:r w:rsidR="007F3290">
        <w:t xml:space="preserve">. Graph </w:t>
      </w:r>
      <w:r w:rsidR="00711A88">
        <w:t>iii</w:t>
      </w:r>
      <w:r w:rsidR="007F3290">
        <w:t xml:space="preserve"> below illustrates that approach</w:t>
      </w:r>
      <w:r w:rsidR="007F3290">
        <w:rPr>
          <w:rStyle w:val="FootnoteReference"/>
        </w:rPr>
        <w:footnoteReference w:id="24"/>
      </w:r>
      <w:r w:rsidR="007F3290">
        <w:t>.</w:t>
      </w:r>
    </w:p>
    <w:p w14:paraId="15661E6D" w14:textId="77777777" w:rsidR="006905D5" w:rsidRDefault="006905D5" w:rsidP="007F3290">
      <w:pPr>
        <w:spacing w:after="0"/>
        <w:rPr>
          <w:b/>
        </w:rPr>
      </w:pPr>
    </w:p>
    <w:p w14:paraId="09A9FCA4" w14:textId="77777777" w:rsidR="007F3290" w:rsidRDefault="007F3290" w:rsidP="007F3290">
      <w:pPr>
        <w:spacing w:after="0"/>
      </w:pPr>
      <w:r w:rsidRPr="006D6E00">
        <w:rPr>
          <w:b/>
        </w:rPr>
        <w:t xml:space="preserve">Graph </w:t>
      </w:r>
      <w:r w:rsidR="006D6E00" w:rsidRPr="006D6E00">
        <w:rPr>
          <w:b/>
        </w:rPr>
        <w:t>iii</w:t>
      </w:r>
      <w:r>
        <w:t>: Average of all CDC diffusion tube data 2011 - 2019.</w:t>
      </w:r>
    </w:p>
    <w:p w14:paraId="594DC62A" w14:textId="77777777" w:rsidR="007F3290" w:rsidRPr="004366EE" w:rsidRDefault="007F3290">
      <w:r>
        <w:rPr>
          <w:noProof/>
          <w:lang w:eastAsia="en-GB"/>
        </w:rPr>
        <w:drawing>
          <wp:inline distT="0" distB="0" distL="0" distR="0" wp14:anchorId="177B15B9" wp14:editId="1A8D6C88">
            <wp:extent cx="3935896" cy="2461087"/>
            <wp:effectExtent l="0" t="0" r="7620" b="0"/>
            <wp:docPr id="5" name="Picture 5" descr="graph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 ii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36526" cy="2461481"/>
                    </a:xfrm>
                    <a:prstGeom prst="rect">
                      <a:avLst/>
                    </a:prstGeom>
                    <a:noFill/>
                  </pic:spPr>
                </pic:pic>
              </a:graphicData>
            </a:graphic>
          </wp:inline>
        </w:drawing>
      </w:r>
    </w:p>
    <w:p w14:paraId="17B82801" w14:textId="27C9A436" w:rsidR="007F3290" w:rsidRDefault="007F3290">
      <w:r>
        <w:lastRenderedPageBreak/>
        <w:t xml:space="preserve">Within its limitations </w:t>
      </w:r>
      <w:r w:rsidRPr="007F3290">
        <w:t>Graph</w:t>
      </w:r>
      <w:r>
        <w:t xml:space="preserve"> </w:t>
      </w:r>
      <w:r w:rsidR="00711A88">
        <w:t>iii</w:t>
      </w:r>
      <w:r>
        <w:t xml:space="preserve"> suggests a clear trend towards improving air quality</w:t>
      </w:r>
      <w:r w:rsidR="009F60C4">
        <w:t xml:space="preserve"> (for Nitrogen Dioxide)</w:t>
      </w:r>
      <w:r>
        <w:t xml:space="preserve"> in Chichester district.</w:t>
      </w:r>
      <w:r w:rsidRPr="007F3290">
        <w:t xml:space="preserve"> </w:t>
      </w:r>
      <w:r w:rsidR="009F60C4">
        <w:t>Transport and</w:t>
      </w:r>
      <w:r w:rsidR="00570D12">
        <w:t>,</w:t>
      </w:r>
      <w:r w:rsidR="009F60C4">
        <w:t xml:space="preserve"> in particular diesel fuelled road vehicles</w:t>
      </w:r>
      <w:r w:rsidR="00570D12">
        <w:t>,</w:t>
      </w:r>
      <w:r w:rsidR="009F60C4">
        <w:t xml:space="preserve"> are the dominant source of NO</w:t>
      </w:r>
      <w:r w:rsidR="009F60C4" w:rsidRPr="009F60C4">
        <w:rPr>
          <w:vertAlign w:val="subscript"/>
        </w:rPr>
        <w:t>2</w:t>
      </w:r>
      <w:r w:rsidR="009F60C4">
        <w:t xml:space="preserve"> for our monitoring locations. </w:t>
      </w:r>
    </w:p>
    <w:p w14:paraId="0EE373AD" w14:textId="77777777" w:rsidR="00B64098" w:rsidRDefault="00B64098">
      <w:r>
        <w:t xml:space="preserve">This trend is further amplified by the data from the real-time air quality monitoring stations, shown in Graph </w:t>
      </w:r>
      <w:r w:rsidR="00711A88">
        <w:t>iv</w:t>
      </w:r>
      <w:r>
        <w:t xml:space="preserve"> below:</w:t>
      </w:r>
    </w:p>
    <w:p w14:paraId="46D967FF" w14:textId="7DFBEC32" w:rsidR="00B64098" w:rsidRDefault="00B64098" w:rsidP="00B64098">
      <w:pPr>
        <w:spacing w:after="0"/>
      </w:pPr>
      <w:r w:rsidRPr="006D6E00">
        <w:rPr>
          <w:b/>
        </w:rPr>
        <w:t xml:space="preserve">Graph </w:t>
      </w:r>
      <w:r w:rsidR="006D6E00" w:rsidRPr="006D6E00">
        <w:rPr>
          <w:b/>
        </w:rPr>
        <w:t>iv</w:t>
      </w:r>
      <w:r>
        <w:t>: Annual mean Nitrogen Dioxide (NO</w:t>
      </w:r>
      <w:r w:rsidRPr="00B64098">
        <w:rPr>
          <w:vertAlign w:val="subscript"/>
        </w:rPr>
        <w:t>2</w:t>
      </w:r>
      <w:r>
        <w:t>) concentrations for all air quality monitoring stations</w:t>
      </w:r>
    </w:p>
    <w:p w14:paraId="1D778BAA" w14:textId="77777777" w:rsidR="00B64098" w:rsidRDefault="00B64098">
      <w:r>
        <w:rPr>
          <w:noProof/>
          <w:lang w:eastAsia="en-GB"/>
        </w:rPr>
        <w:drawing>
          <wp:inline distT="0" distB="0" distL="0" distR="0" wp14:anchorId="73393647" wp14:editId="318625C9">
            <wp:extent cx="4255283" cy="2679590"/>
            <wp:effectExtent l="0" t="0" r="0" b="6985"/>
            <wp:docPr id="3" name="Picture 3" descr="Graph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 iv"/>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54448" cy="2679064"/>
                    </a:xfrm>
                    <a:prstGeom prst="rect">
                      <a:avLst/>
                    </a:prstGeom>
                    <a:noFill/>
                  </pic:spPr>
                </pic:pic>
              </a:graphicData>
            </a:graphic>
          </wp:inline>
        </w:drawing>
      </w:r>
    </w:p>
    <w:p w14:paraId="0E35AD10" w14:textId="77777777" w:rsidR="00B64098" w:rsidRPr="00B64098" w:rsidRDefault="00B64098">
      <w:r w:rsidRPr="00B64098">
        <w:t>Fr</w:t>
      </w:r>
      <w:r>
        <w:t>om all air quality monitoring data for NO</w:t>
      </w:r>
      <w:r w:rsidRPr="00B64098">
        <w:rPr>
          <w:vertAlign w:val="subscript"/>
        </w:rPr>
        <w:t>2</w:t>
      </w:r>
      <w:r>
        <w:t xml:space="preserve"> across the period of the previous AQAP 2015 – 2020 it appears that air quality has improved</w:t>
      </w:r>
      <w:r w:rsidR="009F60C4">
        <w:t xml:space="preserve"> ie NO</w:t>
      </w:r>
      <w:r w:rsidR="009F60C4" w:rsidRPr="009F60C4">
        <w:rPr>
          <w:vertAlign w:val="subscript"/>
        </w:rPr>
        <w:t>2</w:t>
      </w:r>
      <w:r w:rsidR="009F60C4">
        <w:t xml:space="preserve"> concentrations have decreased</w:t>
      </w:r>
      <w:r>
        <w:t>.</w:t>
      </w:r>
    </w:p>
    <w:p w14:paraId="3C3CEA0C" w14:textId="77777777" w:rsidR="007F3290" w:rsidRPr="007F3290" w:rsidRDefault="007F3290" w:rsidP="00442FD7">
      <w:pPr>
        <w:pStyle w:val="Heading2"/>
        <w:numPr>
          <w:ilvl w:val="0"/>
          <w:numId w:val="25"/>
        </w:numPr>
      </w:pPr>
      <w:bookmarkStart w:id="30" w:name="_Toc96511380"/>
      <w:r w:rsidRPr="004D339D">
        <w:rPr>
          <w:color w:val="000000" w:themeColor="text1"/>
        </w:rPr>
        <w:t>Air quality within the AQMAs</w:t>
      </w:r>
      <w:bookmarkEnd w:id="30"/>
    </w:p>
    <w:p w14:paraId="07EBA0C9" w14:textId="77777777" w:rsidR="00D066B0" w:rsidRPr="004D339D" w:rsidRDefault="00D066B0" w:rsidP="00104989">
      <w:pPr>
        <w:pStyle w:val="Heading3"/>
        <w:rPr>
          <w:color w:val="000000" w:themeColor="text1"/>
        </w:rPr>
      </w:pPr>
      <w:bookmarkStart w:id="31" w:name="_Toc96511381"/>
      <w:r w:rsidRPr="004D339D">
        <w:rPr>
          <w:color w:val="000000" w:themeColor="text1"/>
        </w:rPr>
        <w:t>Orchard Street</w:t>
      </w:r>
      <w:r w:rsidR="007F3290" w:rsidRPr="004D339D">
        <w:rPr>
          <w:color w:val="000000" w:themeColor="text1"/>
        </w:rPr>
        <w:t xml:space="preserve"> AQMA</w:t>
      </w:r>
      <w:bookmarkEnd w:id="31"/>
    </w:p>
    <w:p w14:paraId="7583EB00" w14:textId="77777777" w:rsidR="007F3290" w:rsidRDefault="007F3290">
      <w:r>
        <w:t xml:space="preserve">CDC has two monitoring locations in Orchard Street, one as a diffusion tube and one as a </w:t>
      </w:r>
      <w:r w:rsidR="00C21E1E">
        <w:t xml:space="preserve">real-time air quality monitoring station. Data from both monitoring locations is presented in Graph </w:t>
      </w:r>
      <w:r w:rsidR="00B61C7B">
        <w:t>v</w:t>
      </w:r>
      <w:r w:rsidR="00C21E1E">
        <w:t xml:space="preserve"> below:</w:t>
      </w:r>
    </w:p>
    <w:p w14:paraId="60DB50BD" w14:textId="77777777" w:rsidR="00C21E1E" w:rsidRPr="007F3290" w:rsidRDefault="00C21E1E" w:rsidP="006D6E00">
      <w:pPr>
        <w:spacing w:after="0"/>
      </w:pPr>
      <w:r w:rsidRPr="006D6E00">
        <w:rPr>
          <w:b/>
        </w:rPr>
        <w:t xml:space="preserve">Graph </w:t>
      </w:r>
      <w:r w:rsidR="006D6E00" w:rsidRPr="006D6E00">
        <w:rPr>
          <w:b/>
        </w:rPr>
        <w:t>v</w:t>
      </w:r>
      <w:r w:rsidRPr="006D6E00">
        <w:rPr>
          <w:b/>
        </w:rPr>
        <w:t>:</w:t>
      </w:r>
      <w:r>
        <w:t xml:space="preserve"> All</w:t>
      </w:r>
      <w:r w:rsidR="00EA2944">
        <w:t xml:space="preserve"> Orchard Street</w:t>
      </w:r>
      <w:r>
        <w:t xml:space="preserve"> air quality monitoring data </w:t>
      </w:r>
      <w:r w:rsidR="006D6E00">
        <w:t>2014 – 2019:</w:t>
      </w:r>
    </w:p>
    <w:p w14:paraId="58B558AC" w14:textId="77777777" w:rsidR="00D066B0" w:rsidRDefault="007F3290">
      <w:r>
        <w:rPr>
          <w:noProof/>
          <w:lang w:eastAsia="en-GB"/>
        </w:rPr>
        <w:drawing>
          <wp:inline distT="0" distB="0" distL="0" distR="0" wp14:anchorId="703E0DFD" wp14:editId="1CACAC08">
            <wp:extent cx="4080550" cy="2488758"/>
            <wp:effectExtent l="0" t="0" r="0" b="6985"/>
            <wp:docPr id="9" name="Picture 9" descr="graph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 V"/>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78989" cy="2487806"/>
                    </a:xfrm>
                    <a:prstGeom prst="rect">
                      <a:avLst/>
                    </a:prstGeom>
                    <a:noFill/>
                  </pic:spPr>
                </pic:pic>
              </a:graphicData>
            </a:graphic>
          </wp:inline>
        </w:drawing>
      </w:r>
    </w:p>
    <w:p w14:paraId="40179B8C" w14:textId="19A18D03" w:rsidR="00EA2944" w:rsidRPr="00EA2944" w:rsidRDefault="00EA2944">
      <w:r>
        <w:lastRenderedPageBreak/>
        <w:t xml:space="preserve">The </w:t>
      </w:r>
      <w:r w:rsidR="00666A43">
        <w:t xml:space="preserve">monitoring </w:t>
      </w:r>
      <w:r>
        <w:t xml:space="preserve">data shows clear long-term compliance </w:t>
      </w:r>
      <w:r w:rsidR="00666A43">
        <w:t xml:space="preserve">with significant headroom beneath the standard such that a return to previous concentrations is highly unlikely. As such the monitoring data strongly suggests that the AQMA at Orchard Street is no longer commensurate with the data. On the basis of the monitoring data the AQMA should be ‘un-declared’. This is consistent with CDC’s ASR 2019 and is further discussed at Section </w:t>
      </w:r>
      <w:r w:rsidR="00BF1879">
        <w:t>29</w:t>
      </w:r>
      <w:r w:rsidR="00666A43">
        <w:t xml:space="preserve"> of this report in relation to the </w:t>
      </w:r>
      <w:r w:rsidR="00B64098">
        <w:t>air quality model’s outputs for future years in this location.</w:t>
      </w:r>
      <w:r w:rsidR="00666A43">
        <w:t xml:space="preserve"> </w:t>
      </w:r>
    </w:p>
    <w:p w14:paraId="64B71443" w14:textId="77777777" w:rsidR="00D066B0" w:rsidRDefault="00D066B0" w:rsidP="00104989">
      <w:pPr>
        <w:pStyle w:val="Heading3"/>
      </w:pPr>
      <w:bookmarkStart w:id="32" w:name="_Toc96511382"/>
      <w:r w:rsidRPr="004D339D">
        <w:rPr>
          <w:color w:val="000000" w:themeColor="text1"/>
        </w:rPr>
        <w:t>St Pancras</w:t>
      </w:r>
      <w:r w:rsidR="00B64098" w:rsidRPr="004D339D">
        <w:rPr>
          <w:color w:val="000000" w:themeColor="text1"/>
        </w:rPr>
        <w:t xml:space="preserve"> AQMA</w:t>
      </w:r>
      <w:bookmarkEnd w:id="32"/>
    </w:p>
    <w:p w14:paraId="5E913657" w14:textId="77777777" w:rsidR="00D066B0" w:rsidRDefault="00B64098">
      <w:r>
        <w:t>CDC has two NO</w:t>
      </w:r>
      <w:r w:rsidRPr="00B64098">
        <w:rPr>
          <w:vertAlign w:val="subscript"/>
        </w:rPr>
        <w:t>2</w:t>
      </w:r>
      <w:r>
        <w:t xml:space="preserve"> monitoring locations in the St Pancras AQMA</w:t>
      </w:r>
      <w:r w:rsidR="00505F7B">
        <w:t xml:space="preserve">, one at either end </w:t>
      </w:r>
      <w:r w:rsidR="004D3B39">
        <w:t xml:space="preserve">(East and West) </w:t>
      </w:r>
      <w:r w:rsidR="00505F7B">
        <w:t>and on opposing sides</w:t>
      </w:r>
      <w:r w:rsidR="004D3B39">
        <w:t xml:space="preserve"> (North and South)</w:t>
      </w:r>
      <w:r w:rsidR="00505F7B">
        <w:t xml:space="preserve"> of the canyonised section containing the AQMA</w:t>
      </w:r>
      <w:r>
        <w:t xml:space="preserve">. </w:t>
      </w:r>
      <w:r w:rsidR="00505F7B">
        <w:t xml:space="preserve">Graph </w:t>
      </w:r>
      <w:r w:rsidR="00B61C7B">
        <w:t>vi</w:t>
      </w:r>
      <w:r w:rsidR="00505F7B">
        <w:t xml:space="preserve"> below shows the monitoring data from this location though the data from only</w:t>
      </w:r>
      <w:r w:rsidR="00A53F30">
        <w:t xml:space="preserve"> the original</w:t>
      </w:r>
      <w:r w:rsidR="00505F7B">
        <w:t xml:space="preserve"> monitoring location is shown as the second location is under 12 months old</w:t>
      </w:r>
      <w:r w:rsidR="00505F7B">
        <w:rPr>
          <w:rStyle w:val="FootnoteReference"/>
        </w:rPr>
        <w:footnoteReference w:id="25"/>
      </w:r>
      <w:r w:rsidR="00505F7B">
        <w:t xml:space="preserve">. </w:t>
      </w:r>
    </w:p>
    <w:p w14:paraId="545F232F" w14:textId="77777777" w:rsidR="006905D5" w:rsidRDefault="006905D5" w:rsidP="00811B67">
      <w:pPr>
        <w:spacing w:after="0"/>
        <w:rPr>
          <w:b/>
        </w:rPr>
      </w:pPr>
    </w:p>
    <w:p w14:paraId="60D59997" w14:textId="77777777" w:rsidR="00811B67" w:rsidRDefault="00811B67" w:rsidP="00811B67">
      <w:pPr>
        <w:spacing w:after="0"/>
      </w:pPr>
      <w:r w:rsidRPr="006D6E00">
        <w:rPr>
          <w:b/>
        </w:rPr>
        <w:t xml:space="preserve">Graph </w:t>
      </w:r>
      <w:r w:rsidR="006D6E00" w:rsidRPr="006D6E00">
        <w:rPr>
          <w:b/>
        </w:rPr>
        <w:t>vi</w:t>
      </w:r>
      <w:r w:rsidRPr="006D6E00">
        <w:rPr>
          <w:b/>
        </w:rPr>
        <w:t>:</w:t>
      </w:r>
      <w:r>
        <w:t xml:space="preserve"> St Pancras air quality monitoring data 2011 </w:t>
      </w:r>
      <w:r w:rsidR="006D6E00">
        <w:t>–</w:t>
      </w:r>
      <w:r>
        <w:t xml:space="preserve"> 2019</w:t>
      </w:r>
      <w:r w:rsidR="006D6E00">
        <w:t>:</w:t>
      </w:r>
    </w:p>
    <w:p w14:paraId="7D7215AF" w14:textId="77777777" w:rsidR="00505F7B" w:rsidRDefault="00505F7B">
      <w:r>
        <w:rPr>
          <w:noProof/>
          <w:lang w:eastAsia="en-GB"/>
        </w:rPr>
        <w:drawing>
          <wp:inline distT="0" distB="0" distL="0" distR="0" wp14:anchorId="2E0DA7C0" wp14:editId="611F79F8">
            <wp:extent cx="4451848" cy="2838616"/>
            <wp:effectExtent l="0" t="0" r="6350" b="0"/>
            <wp:docPr id="11" name="Picture 11" descr="Graph 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 VI"/>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51626" cy="2838474"/>
                    </a:xfrm>
                    <a:prstGeom prst="rect">
                      <a:avLst/>
                    </a:prstGeom>
                    <a:noFill/>
                  </pic:spPr>
                </pic:pic>
              </a:graphicData>
            </a:graphic>
          </wp:inline>
        </w:drawing>
      </w:r>
    </w:p>
    <w:p w14:paraId="1CB6E6FE" w14:textId="77777777" w:rsidR="00505F7B" w:rsidRPr="00505F7B" w:rsidRDefault="00505F7B">
      <w:r w:rsidRPr="00505F7B">
        <w:t xml:space="preserve">Whilst the monitoring data </w:t>
      </w:r>
      <w:r>
        <w:t xml:space="preserve">from St Pancras AQMA </w:t>
      </w:r>
      <w:r w:rsidR="00811B67">
        <w:t>shows a trend towards improving air quality it is not yet compliant with the air quality standard. Monitoring will continue in this location in order for us to understand whether the trend of improving air quality ultimately leads to compliance.</w:t>
      </w:r>
    </w:p>
    <w:p w14:paraId="2FC86109" w14:textId="77777777" w:rsidR="00900DC7" w:rsidRPr="00104989" w:rsidRDefault="00811B67" w:rsidP="00104989">
      <w:pPr>
        <w:pStyle w:val="Heading3"/>
      </w:pPr>
      <w:bookmarkStart w:id="33" w:name="_Toc96511383"/>
      <w:r w:rsidRPr="004D339D">
        <w:rPr>
          <w:color w:val="000000" w:themeColor="text1"/>
        </w:rPr>
        <w:t>Stockbridge</w:t>
      </w:r>
      <w:bookmarkEnd w:id="33"/>
    </w:p>
    <w:p w14:paraId="353F6A0A" w14:textId="6513A99A" w:rsidR="003744D4" w:rsidRDefault="003744D4" w:rsidP="003744D4">
      <w:r>
        <w:t>CDC has four monitoring locations in and around the Stockbridge A27 junction. Four as diffusion tubes and one as a real-time air quality monitoring station</w:t>
      </w:r>
      <w:r>
        <w:rPr>
          <w:rStyle w:val="FootnoteReference"/>
        </w:rPr>
        <w:footnoteReference w:id="26"/>
      </w:r>
      <w:r>
        <w:t xml:space="preserve">. Data from all monitoring locations is presented in Graphs </w:t>
      </w:r>
      <w:r w:rsidR="00B61C7B">
        <w:t>vii</w:t>
      </w:r>
      <w:r>
        <w:t xml:space="preserve"> to </w:t>
      </w:r>
      <w:r w:rsidR="00B61C7B">
        <w:t>ix</w:t>
      </w:r>
      <w:r>
        <w:t xml:space="preserve"> below:</w:t>
      </w:r>
    </w:p>
    <w:p w14:paraId="5CD3DE51" w14:textId="77777777" w:rsidR="006D6E00" w:rsidRDefault="006D6E00"/>
    <w:p w14:paraId="4704BDB7" w14:textId="77777777" w:rsidR="006D6E00" w:rsidRDefault="006D6E00"/>
    <w:p w14:paraId="68B25538" w14:textId="77777777" w:rsidR="00E11A8B" w:rsidRDefault="006D6E00" w:rsidP="006D6E00">
      <w:pPr>
        <w:spacing w:after="0"/>
      </w:pPr>
      <w:r w:rsidRPr="006D6E00">
        <w:rPr>
          <w:b/>
        </w:rPr>
        <w:lastRenderedPageBreak/>
        <w:t>Graph vii:</w:t>
      </w:r>
      <w:r w:rsidRPr="006D6E00">
        <w:t xml:space="preserve"> Stockbridge diffusion tube monitoring data 2011 – 2019:</w:t>
      </w:r>
    </w:p>
    <w:p w14:paraId="1C7C2674" w14:textId="77777777" w:rsidR="006D6E00" w:rsidRDefault="006D6E00" w:rsidP="006D6E00">
      <w:pPr>
        <w:spacing w:after="0"/>
      </w:pPr>
      <w:r>
        <w:rPr>
          <w:b/>
          <w:noProof/>
          <w:lang w:eastAsia="en-GB"/>
        </w:rPr>
        <w:drawing>
          <wp:inline distT="0" distB="0" distL="0" distR="0" wp14:anchorId="7A3BD2EA" wp14:editId="5D7F4CE8">
            <wp:extent cx="4883193" cy="2918129"/>
            <wp:effectExtent l="0" t="0" r="0" b="0"/>
            <wp:docPr id="20" name="Picture 20" descr="Graph V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 VII"/>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85867" cy="2919727"/>
                    </a:xfrm>
                    <a:prstGeom prst="rect">
                      <a:avLst/>
                    </a:prstGeom>
                    <a:noFill/>
                  </pic:spPr>
                </pic:pic>
              </a:graphicData>
            </a:graphic>
          </wp:inline>
        </w:drawing>
      </w:r>
    </w:p>
    <w:p w14:paraId="61DBF333" w14:textId="77777777" w:rsidR="006D6E00" w:rsidRPr="006D6E00" w:rsidRDefault="006D6E00" w:rsidP="006D6E00">
      <w:pPr>
        <w:spacing w:after="0"/>
      </w:pPr>
    </w:p>
    <w:p w14:paraId="4E0DDB2C" w14:textId="77777777" w:rsidR="005C3C74" w:rsidRDefault="006D6E00" w:rsidP="006D6E00">
      <w:pPr>
        <w:spacing w:after="0"/>
      </w:pPr>
      <w:r w:rsidRPr="006D6E00">
        <w:rPr>
          <w:b/>
        </w:rPr>
        <w:t>Graph viii:</w:t>
      </w:r>
      <w:r w:rsidRPr="006D6E00">
        <w:t xml:space="preserve"> Stockbridge annual mean PM</w:t>
      </w:r>
      <w:r w:rsidRPr="006D6E00">
        <w:rPr>
          <w:vertAlign w:val="subscript"/>
        </w:rPr>
        <w:t>10</w:t>
      </w:r>
      <w:r w:rsidRPr="006D6E00">
        <w:t xml:space="preserve"> concentrations 2011 – 2019:</w:t>
      </w:r>
    </w:p>
    <w:p w14:paraId="049DF331" w14:textId="6FBDCA50" w:rsidR="006D6E00" w:rsidRDefault="00CA58BB" w:rsidP="006D6E00">
      <w:pPr>
        <w:spacing w:after="0"/>
      </w:pPr>
      <w:r>
        <w:rPr>
          <w:noProof/>
        </w:rPr>
        <w:drawing>
          <wp:inline distT="0" distB="0" distL="0" distR="0" wp14:anchorId="5BA9B855" wp14:editId="5DE228B1">
            <wp:extent cx="4864100" cy="2706480"/>
            <wp:effectExtent l="0" t="0" r="0" b="0"/>
            <wp:docPr id="15" name="Picture 15" descr="Graph V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 VII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92858" cy="2722482"/>
                    </a:xfrm>
                    <a:prstGeom prst="rect">
                      <a:avLst/>
                    </a:prstGeom>
                    <a:noFill/>
                  </pic:spPr>
                </pic:pic>
              </a:graphicData>
            </a:graphic>
          </wp:inline>
        </w:drawing>
      </w:r>
    </w:p>
    <w:p w14:paraId="3A8747DD" w14:textId="77777777" w:rsidR="006D6E00" w:rsidRPr="006D6E00" w:rsidRDefault="006D6E00" w:rsidP="006D6E00">
      <w:pPr>
        <w:spacing w:after="0"/>
      </w:pPr>
    </w:p>
    <w:p w14:paraId="72DCB170" w14:textId="77777777" w:rsidR="00CA1A82" w:rsidRDefault="00CA1A82">
      <w:pPr>
        <w:rPr>
          <w:b/>
        </w:rPr>
      </w:pPr>
    </w:p>
    <w:p w14:paraId="179012D2" w14:textId="77777777" w:rsidR="006D6E00" w:rsidRDefault="006D6E00">
      <w:pPr>
        <w:rPr>
          <w:b/>
        </w:rPr>
      </w:pPr>
    </w:p>
    <w:p w14:paraId="0D2EC2F5" w14:textId="77777777" w:rsidR="006D6E00" w:rsidRDefault="006D6E00">
      <w:pPr>
        <w:rPr>
          <w:b/>
        </w:rPr>
      </w:pPr>
    </w:p>
    <w:p w14:paraId="55F9DB1D" w14:textId="77777777" w:rsidR="006D6E00" w:rsidRDefault="006D6E00">
      <w:pPr>
        <w:rPr>
          <w:b/>
        </w:rPr>
      </w:pPr>
    </w:p>
    <w:p w14:paraId="6D57C485" w14:textId="77777777" w:rsidR="006D6E00" w:rsidRDefault="006D6E00">
      <w:pPr>
        <w:rPr>
          <w:b/>
        </w:rPr>
      </w:pPr>
    </w:p>
    <w:p w14:paraId="5B1B0C1D" w14:textId="77777777" w:rsidR="006D6E00" w:rsidRDefault="006D6E00">
      <w:pPr>
        <w:rPr>
          <w:b/>
        </w:rPr>
      </w:pPr>
    </w:p>
    <w:p w14:paraId="37ACA0A8" w14:textId="77777777" w:rsidR="006D6E00" w:rsidRDefault="006D6E00">
      <w:pPr>
        <w:rPr>
          <w:b/>
        </w:rPr>
      </w:pPr>
    </w:p>
    <w:p w14:paraId="749C2AFD" w14:textId="77777777" w:rsidR="006D6E00" w:rsidRPr="006D6E00" w:rsidRDefault="006D6E00" w:rsidP="006D6E00">
      <w:pPr>
        <w:spacing w:after="0"/>
      </w:pPr>
      <w:r>
        <w:rPr>
          <w:b/>
        </w:rPr>
        <w:lastRenderedPageBreak/>
        <w:t xml:space="preserve">Graph ix: </w:t>
      </w:r>
      <w:r w:rsidRPr="006D6E00">
        <w:t>Stockbridge PM</w:t>
      </w:r>
      <w:r w:rsidRPr="006D6E00">
        <w:rPr>
          <w:vertAlign w:val="subscript"/>
        </w:rPr>
        <w:t>10</w:t>
      </w:r>
      <w:r w:rsidRPr="006D6E00">
        <w:t xml:space="preserve"> exceedences of the 24-hour mean standard</w:t>
      </w:r>
      <w:r>
        <w:t xml:space="preserve"> 2011 - 2019</w:t>
      </w:r>
      <w:r w:rsidRPr="006D6E00">
        <w:t>:</w:t>
      </w:r>
    </w:p>
    <w:p w14:paraId="262A2393" w14:textId="77777777" w:rsidR="00CA1A82" w:rsidRDefault="00CA1A82">
      <w:pPr>
        <w:rPr>
          <w:b/>
        </w:rPr>
      </w:pPr>
      <w:r>
        <w:rPr>
          <w:b/>
          <w:noProof/>
          <w:lang w:eastAsia="en-GB"/>
        </w:rPr>
        <w:drawing>
          <wp:inline distT="0" distB="0" distL="0" distR="0" wp14:anchorId="246C4FB8" wp14:editId="25CA38B2">
            <wp:extent cx="4923478" cy="3220278"/>
            <wp:effectExtent l="0" t="0" r="0" b="0"/>
            <wp:docPr id="18" name="Picture 18" descr="bar chart showing PM10 exceedences of the 24 hour mean standard between 2011 and 2019 at the Stockbridge A27 monitoring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ar chart showing PM10 exceedences of the 24 hour mean standard between 2011 and 2019 at the Stockbridge A27 monitoring stat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30229" cy="3224694"/>
                    </a:xfrm>
                    <a:prstGeom prst="rect">
                      <a:avLst/>
                    </a:prstGeom>
                    <a:noFill/>
                  </pic:spPr>
                </pic:pic>
              </a:graphicData>
            </a:graphic>
          </wp:inline>
        </w:drawing>
      </w:r>
    </w:p>
    <w:p w14:paraId="39A37507" w14:textId="77777777" w:rsidR="003744D4" w:rsidRDefault="003744D4">
      <w:r>
        <w:t xml:space="preserve">From the monitoring data it is clear that air quality at this location has improved significantly and all </w:t>
      </w:r>
      <w:r w:rsidR="00093AD1">
        <w:t xml:space="preserve">Stockbridge </w:t>
      </w:r>
      <w:r>
        <w:t xml:space="preserve">monitoring locations have been compliant with the standard since 2017. This commentary is supported by the real-time data </w:t>
      </w:r>
      <w:r w:rsidR="000B6B3B">
        <w:t>for both NO</w:t>
      </w:r>
      <w:r w:rsidR="000B6B3B" w:rsidRPr="000B6B3B">
        <w:rPr>
          <w:vertAlign w:val="subscript"/>
        </w:rPr>
        <w:t>2</w:t>
      </w:r>
      <w:r w:rsidR="000B6B3B">
        <w:t xml:space="preserve"> and PM</w:t>
      </w:r>
      <w:r w:rsidR="000B6B3B" w:rsidRPr="000B6B3B">
        <w:rPr>
          <w:vertAlign w:val="subscript"/>
        </w:rPr>
        <w:t>10</w:t>
      </w:r>
      <w:r w:rsidR="00D462C1">
        <w:rPr>
          <w:vertAlign w:val="subscript"/>
        </w:rPr>
        <w:t xml:space="preserve"> </w:t>
      </w:r>
      <w:r w:rsidR="00D462C1">
        <w:t>which show significant improvements 2011 to 2019</w:t>
      </w:r>
      <w:r w:rsidR="000B6B3B">
        <w:t>.</w:t>
      </w:r>
    </w:p>
    <w:p w14:paraId="4ECD50FA" w14:textId="3A786FB2" w:rsidR="008E55F3" w:rsidRPr="00AF25F2" w:rsidRDefault="008E55F3">
      <w:r>
        <w:t xml:space="preserve">CDC does not </w:t>
      </w:r>
      <w:r w:rsidR="00093AD1">
        <w:t xml:space="preserve">monitor </w:t>
      </w:r>
      <w:r>
        <w:t>PM</w:t>
      </w:r>
      <w:r w:rsidRPr="008E55F3">
        <w:rPr>
          <w:vertAlign w:val="subscript"/>
        </w:rPr>
        <w:t>2.5</w:t>
      </w:r>
      <w:r>
        <w:t xml:space="preserve">. Nevertheless we are aware of the importance of this pollutant in relation to public health and </w:t>
      </w:r>
      <w:r w:rsidR="00842A16">
        <w:t>note</w:t>
      </w:r>
      <w:r>
        <w:t xml:space="preserve"> that the Government’s Environment </w:t>
      </w:r>
      <w:r w:rsidR="007C19C0">
        <w:t>Act</w:t>
      </w:r>
      <w:r>
        <w:t xml:space="preserve"> commits the UK to adopting an ambient air quality standard for PM</w:t>
      </w:r>
      <w:r w:rsidRPr="008E55F3">
        <w:rPr>
          <w:vertAlign w:val="subscript"/>
        </w:rPr>
        <w:t>2.5</w:t>
      </w:r>
      <w:r>
        <w:t>. As such the DEFRA guidance provides a methodology for estimating PM</w:t>
      </w:r>
      <w:r w:rsidRPr="008E55F3">
        <w:rPr>
          <w:vertAlign w:val="subscript"/>
        </w:rPr>
        <w:t>2.5</w:t>
      </w:r>
      <w:r>
        <w:t xml:space="preserve"> from PM</w:t>
      </w:r>
      <w:r w:rsidRPr="008E55F3">
        <w:rPr>
          <w:vertAlign w:val="subscript"/>
        </w:rPr>
        <w:t>10</w:t>
      </w:r>
      <w:r>
        <w:t xml:space="preserve"> monitoring data. Applying this methodology gives us an estimated 2019 annual mean concentration of PM</w:t>
      </w:r>
      <w:r w:rsidRPr="008E55F3">
        <w:rPr>
          <w:vertAlign w:val="subscript"/>
        </w:rPr>
        <w:t>2.5</w:t>
      </w:r>
      <w:r>
        <w:t xml:space="preserve"> at the Stockbridge air quality monitoring station (where we monitor PM</w:t>
      </w:r>
      <w:r w:rsidRPr="008E55F3">
        <w:rPr>
          <w:vertAlign w:val="subscript"/>
        </w:rPr>
        <w:t>10</w:t>
      </w:r>
      <w:r>
        <w:t>) of 13</w:t>
      </w:r>
      <w:r w:rsidR="001107AA">
        <w:t>.2</w:t>
      </w:r>
      <w:r>
        <w:t>µgm</w:t>
      </w:r>
      <w:r w:rsidRPr="008E55F3">
        <w:rPr>
          <w:vertAlign w:val="superscript"/>
        </w:rPr>
        <w:t>-3</w:t>
      </w:r>
      <w:r>
        <w:t>.</w:t>
      </w:r>
      <w:r w:rsidR="001107AA">
        <w:t xml:space="preserve"> This is considered to be a worst-case location for this estimate given the proximity to the A27 with its ~48K annual average daily traffic flow.</w:t>
      </w:r>
      <w:r>
        <w:t xml:space="preserve"> The calculation for this is presented at Appendix </w:t>
      </w:r>
      <w:r w:rsidR="00B61C7B">
        <w:t>5</w:t>
      </w:r>
      <w:r>
        <w:t xml:space="preserve">. </w:t>
      </w:r>
      <w:r w:rsidR="00AF25F2">
        <w:t>This is comfortably compliant with the annual average EU</w:t>
      </w:r>
      <w:r w:rsidR="00AF25F2">
        <w:rPr>
          <w:rStyle w:val="FootnoteReference"/>
        </w:rPr>
        <w:footnoteReference w:id="27"/>
      </w:r>
      <w:r w:rsidR="00AF25F2">
        <w:t xml:space="preserve"> limit value for PM</w:t>
      </w:r>
      <w:r w:rsidR="00AF25F2" w:rsidRPr="00A81DF1">
        <w:rPr>
          <w:vertAlign w:val="subscript"/>
        </w:rPr>
        <w:t>2.5</w:t>
      </w:r>
      <w:r w:rsidR="00AF25F2">
        <w:t xml:space="preserve"> of 25µgm</w:t>
      </w:r>
      <w:r w:rsidR="00AF25F2" w:rsidRPr="00420F55">
        <w:rPr>
          <w:vertAlign w:val="superscript"/>
        </w:rPr>
        <w:t>-3</w:t>
      </w:r>
      <w:r w:rsidR="00AF25F2">
        <w:t xml:space="preserve"> as suggested by the Policy Guidance.</w:t>
      </w:r>
    </w:p>
    <w:p w14:paraId="35A872F1" w14:textId="5A4FEF67" w:rsidR="00D462C1" w:rsidRPr="003744D4" w:rsidRDefault="00D462C1">
      <w:r>
        <w:t xml:space="preserve">Both the monitoring data and modelling data (presented at section </w:t>
      </w:r>
      <w:r w:rsidR="00093AD1">
        <w:t>29</w:t>
      </w:r>
      <w:r>
        <w:t xml:space="preserve"> below) have been discussed with </w:t>
      </w:r>
      <w:r w:rsidR="007C19C0">
        <w:t xml:space="preserve">National </w:t>
      </w:r>
      <w:r>
        <w:t xml:space="preserve">Highways </w:t>
      </w:r>
      <w:r w:rsidR="009C17F9">
        <w:t>(</w:t>
      </w:r>
      <w:r w:rsidR="007C19C0">
        <w:t>N</w:t>
      </w:r>
      <w:r w:rsidR="009C17F9">
        <w:t xml:space="preserve">H) (as the A27 is managed by </w:t>
      </w:r>
      <w:r w:rsidR="007C19C0">
        <w:t>NH</w:t>
      </w:r>
      <w:r w:rsidR="009C17F9">
        <w:t>). Officers of both organisations agree that the monitoring data indicates that this AQMA could be un-declared.</w:t>
      </w:r>
    </w:p>
    <w:p w14:paraId="1A4E6583" w14:textId="77777777" w:rsidR="00D066B0" w:rsidRPr="00104989" w:rsidRDefault="00D066B0" w:rsidP="00104989">
      <w:pPr>
        <w:pStyle w:val="Heading3"/>
      </w:pPr>
      <w:bookmarkStart w:id="34" w:name="_Toc96511384"/>
      <w:r w:rsidRPr="004D339D">
        <w:rPr>
          <w:color w:val="000000" w:themeColor="text1"/>
        </w:rPr>
        <w:t>Rumbolds Hill</w:t>
      </w:r>
      <w:bookmarkEnd w:id="34"/>
    </w:p>
    <w:p w14:paraId="4C9923E3" w14:textId="7668E943" w:rsidR="00811B67" w:rsidRDefault="00811B67">
      <w:r w:rsidRPr="00924A30">
        <w:t xml:space="preserve">Rumbolds Hill </w:t>
      </w:r>
      <w:r w:rsidR="00924A30">
        <w:t xml:space="preserve">was declared as an AQMA in January 2020. As such CDC has several monitoring locations there in order to best </w:t>
      </w:r>
      <w:r w:rsidR="00BB62A0">
        <w:t xml:space="preserve">inform </w:t>
      </w:r>
      <w:r w:rsidR="00924A30">
        <w:t>our understanding of air quality there. The two monitoring locations that are both outside of the AQMA (Midhurst Station</w:t>
      </w:r>
      <w:r w:rsidR="00AB77F9">
        <w:t>e</w:t>
      </w:r>
      <w:r w:rsidR="00924A30">
        <w:t>ry and the British Heart Foundation</w:t>
      </w:r>
      <w:r w:rsidR="00D17C5C">
        <w:t xml:space="preserve"> (BHF)</w:t>
      </w:r>
      <w:r w:rsidR="00924A30">
        <w:t xml:space="preserve">) suggest that the topography of Rumbolds Hill is important in relation to the air quality there. </w:t>
      </w:r>
      <w:r w:rsidR="00924A30">
        <w:lastRenderedPageBreak/>
        <w:t>The BHF monitoring site largely carries an identical volume of traffic and yet because it is outside of the narrow streetscape of Rumbolds Hill its air quality is very significantly better.</w:t>
      </w:r>
    </w:p>
    <w:p w14:paraId="2A029861" w14:textId="77777777" w:rsidR="00924A30" w:rsidRPr="00924A30" w:rsidRDefault="00924A30" w:rsidP="00924A30">
      <w:pPr>
        <w:spacing w:after="0"/>
      </w:pPr>
      <w:r w:rsidRPr="006D6E00">
        <w:rPr>
          <w:b/>
        </w:rPr>
        <w:t xml:space="preserve">Graph </w:t>
      </w:r>
      <w:r w:rsidR="006D6E00" w:rsidRPr="006D6E00">
        <w:rPr>
          <w:b/>
        </w:rPr>
        <w:t>x</w:t>
      </w:r>
      <w:r w:rsidRPr="006D6E00">
        <w:rPr>
          <w:b/>
        </w:rPr>
        <w:t xml:space="preserve">: </w:t>
      </w:r>
      <w:r>
        <w:t>Rumbolds Hill air quality monitoring data 2015 - 2019</w:t>
      </w:r>
    </w:p>
    <w:p w14:paraId="409C7DB5" w14:textId="77777777" w:rsidR="00811B67" w:rsidRDefault="007A2E61">
      <w:pPr>
        <w:rPr>
          <w:b/>
        </w:rPr>
      </w:pPr>
      <w:r>
        <w:rPr>
          <w:b/>
          <w:noProof/>
          <w:lang w:eastAsia="en-GB"/>
        </w:rPr>
        <w:drawing>
          <wp:inline distT="0" distB="0" distL="0" distR="0" wp14:anchorId="7402AA61" wp14:editId="311A8B7C">
            <wp:extent cx="4675367" cy="2932599"/>
            <wp:effectExtent l="0" t="0" r="0" b="1270"/>
            <wp:docPr id="21" name="Picture 21" descr="Graph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 x"/>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72710" cy="2930933"/>
                    </a:xfrm>
                    <a:prstGeom prst="rect">
                      <a:avLst/>
                    </a:prstGeom>
                    <a:noFill/>
                  </pic:spPr>
                </pic:pic>
              </a:graphicData>
            </a:graphic>
          </wp:inline>
        </w:drawing>
      </w:r>
    </w:p>
    <w:p w14:paraId="4E8F52A2" w14:textId="77777777" w:rsidR="00811B67" w:rsidRDefault="00924A30">
      <w:r>
        <w:t xml:space="preserve">Nevertheless the 2019 air quality data for the long-term diffusion tube site at Rumbolds Hill is borderline compliant with the air quality standard. </w:t>
      </w:r>
    </w:p>
    <w:p w14:paraId="6B61EE6F" w14:textId="77777777" w:rsidR="001A13B6" w:rsidRPr="001A13B6" w:rsidRDefault="001A13B6" w:rsidP="00104989">
      <w:pPr>
        <w:pStyle w:val="Heading1"/>
      </w:pPr>
      <w:bookmarkStart w:id="35" w:name="_Toc96511385"/>
      <w:r w:rsidRPr="001A13B6">
        <w:t>Ozone monitoring</w:t>
      </w:r>
      <w:bookmarkEnd w:id="35"/>
    </w:p>
    <w:p w14:paraId="27051382" w14:textId="57BDF0D8" w:rsidR="009B7EB0" w:rsidRDefault="001A13B6">
      <w:r w:rsidRPr="001A13B6">
        <w:t xml:space="preserve">The Council monitor </w:t>
      </w:r>
      <w:r>
        <w:t>ground-level O</w:t>
      </w:r>
      <w:r w:rsidRPr="001A13B6">
        <w:t xml:space="preserve">zone </w:t>
      </w:r>
      <w:r>
        <w:t>at Lodsworth in the north of the district</w:t>
      </w:r>
      <w:r w:rsidR="00F07EC2">
        <w:t xml:space="preserve"> as the pollutant mostly affects rural air quality away from other sources of pollution</w:t>
      </w:r>
      <w:r>
        <w:t>. Ozone is an important pollutant both in relation to public health</w:t>
      </w:r>
      <w:r w:rsidR="0096252A">
        <w:t>,</w:t>
      </w:r>
      <w:r>
        <w:t xml:space="preserve"> its impact on crop-yields and other eco-system effects.</w:t>
      </w:r>
      <w:r w:rsidR="00A47848">
        <w:t xml:space="preserve"> Whilst </w:t>
      </w:r>
      <w:r w:rsidR="009B7EB0">
        <w:t xml:space="preserve">the National Air Quality Objective for </w:t>
      </w:r>
      <w:r w:rsidR="00A47848">
        <w:t xml:space="preserve">Ozone </w:t>
      </w:r>
      <w:r w:rsidR="009B7EB0">
        <w:t xml:space="preserve">(see table </w:t>
      </w:r>
      <w:r w:rsidR="00093AD1">
        <w:t>5</w:t>
      </w:r>
      <w:r w:rsidR="009B7EB0">
        <w:t xml:space="preserve"> below) </w:t>
      </w:r>
      <w:r w:rsidR="00A47848">
        <w:t xml:space="preserve">is not part of Local Air Quality Management we have monitored it </w:t>
      </w:r>
      <w:r w:rsidR="0096252A">
        <w:t>since 2006</w:t>
      </w:r>
      <w:r w:rsidR="0096252A">
        <w:rPr>
          <w:rStyle w:val="FootnoteReference"/>
        </w:rPr>
        <w:footnoteReference w:id="28"/>
      </w:r>
      <w:r w:rsidR="0096252A">
        <w:t xml:space="preserve">. </w:t>
      </w:r>
      <w:r w:rsidR="00BC5BB7">
        <w:t xml:space="preserve">The data at Lodsworth is commonly non-compliant with the Air Quality Objective (see Graph </w:t>
      </w:r>
      <w:r w:rsidR="00B61C7B">
        <w:t>xi</w:t>
      </w:r>
      <w:r w:rsidR="00BC5BB7">
        <w:t xml:space="preserve"> below). </w:t>
      </w:r>
    </w:p>
    <w:p w14:paraId="08CA2D62" w14:textId="77777777" w:rsidR="009B7EB0" w:rsidRDefault="009B7EB0">
      <w:r>
        <w:t>There is discussion a</w:t>
      </w:r>
      <w:r w:rsidR="00093AD1">
        <w:t>bout</w:t>
      </w:r>
      <w:r>
        <w:t xml:space="preserve"> this pollutant in relation to the warming climate. As the pollutant is produced by photochemical atmospheric reactions driven by bright sunshine then it is predicted that ground level ozone will worsen due to climate change.</w:t>
      </w:r>
      <w:r w:rsidR="00BC5BB7">
        <w:t xml:space="preserve"> </w:t>
      </w:r>
    </w:p>
    <w:p w14:paraId="4F3BC332" w14:textId="77777777" w:rsidR="005F4241" w:rsidRPr="005F4241" w:rsidRDefault="005F4241" w:rsidP="00104989">
      <w:pPr>
        <w:pStyle w:val="Caption"/>
        <w:keepNext/>
        <w:spacing w:after="0"/>
        <w:rPr>
          <w:b w:val="0"/>
          <w:bCs w:val="0"/>
          <w:color w:val="auto"/>
          <w:sz w:val="22"/>
          <w:szCs w:val="22"/>
        </w:rPr>
      </w:pPr>
      <w:r w:rsidRPr="005F4241">
        <w:rPr>
          <w:bCs w:val="0"/>
          <w:color w:val="auto"/>
          <w:sz w:val="22"/>
          <w:szCs w:val="22"/>
        </w:rPr>
        <w:t xml:space="preserve">Table </w:t>
      </w:r>
      <w:r w:rsidRPr="005F4241">
        <w:rPr>
          <w:bCs w:val="0"/>
          <w:color w:val="auto"/>
          <w:sz w:val="22"/>
          <w:szCs w:val="22"/>
        </w:rPr>
        <w:fldChar w:fldCharType="begin"/>
      </w:r>
      <w:r w:rsidRPr="005F4241">
        <w:rPr>
          <w:bCs w:val="0"/>
          <w:color w:val="auto"/>
          <w:sz w:val="22"/>
          <w:szCs w:val="22"/>
        </w:rPr>
        <w:instrText xml:space="preserve"> SEQ Table \* ARABIC </w:instrText>
      </w:r>
      <w:r w:rsidRPr="005F4241">
        <w:rPr>
          <w:bCs w:val="0"/>
          <w:color w:val="auto"/>
          <w:sz w:val="22"/>
          <w:szCs w:val="22"/>
        </w:rPr>
        <w:fldChar w:fldCharType="separate"/>
      </w:r>
      <w:r w:rsidR="00947DF1">
        <w:rPr>
          <w:bCs w:val="0"/>
          <w:noProof/>
          <w:color w:val="auto"/>
          <w:sz w:val="22"/>
          <w:szCs w:val="22"/>
        </w:rPr>
        <w:t>5</w:t>
      </w:r>
      <w:r w:rsidRPr="005F4241">
        <w:rPr>
          <w:bCs w:val="0"/>
          <w:color w:val="auto"/>
          <w:sz w:val="22"/>
          <w:szCs w:val="22"/>
        </w:rPr>
        <w:fldChar w:fldCharType="end"/>
      </w:r>
      <w:r w:rsidRPr="005F4241">
        <w:rPr>
          <w:bCs w:val="0"/>
          <w:color w:val="auto"/>
          <w:sz w:val="22"/>
          <w:szCs w:val="22"/>
        </w:rPr>
        <w:t>:</w:t>
      </w:r>
      <w:r w:rsidRPr="005F4241">
        <w:rPr>
          <w:b w:val="0"/>
          <w:bCs w:val="0"/>
          <w:color w:val="auto"/>
          <w:sz w:val="22"/>
          <w:szCs w:val="22"/>
        </w:rPr>
        <w:t xml:space="preserve"> National air quality standard for Ozone</w:t>
      </w:r>
      <w:r w:rsidR="00104989">
        <w:rPr>
          <w:b w:val="0"/>
          <w:bCs w:val="0"/>
          <w:color w:val="auto"/>
          <w:sz w:val="22"/>
          <w:szCs w:val="22"/>
        </w:rPr>
        <w:t>:</w:t>
      </w:r>
    </w:p>
    <w:tbl>
      <w:tblPr>
        <w:tblStyle w:val="TableGrid"/>
        <w:tblW w:w="0" w:type="auto"/>
        <w:tblLook w:val="04A0" w:firstRow="1" w:lastRow="0" w:firstColumn="1" w:lastColumn="0" w:noHBand="0" w:noVBand="1"/>
      </w:tblPr>
      <w:tblGrid>
        <w:gridCol w:w="2247"/>
        <w:gridCol w:w="2249"/>
        <w:gridCol w:w="2270"/>
        <w:gridCol w:w="2250"/>
      </w:tblGrid>
      <w:tr w:rsidR="009B7EB0" w14:paraId="5D5297A1" w14:textId="77777777" w:rsidTr="009B7EB0">
        <w:tc>
          <w:tcPr>
            <w:tcW w:w="2310" w:type="dxa"/>
          </w:tcPr>
          <w:p w14:paraId="42BC30A7" w14:textId="77777777" w:rsidR="009B7EB0" w:rsidRPr="009B7EB0" w:rsidRDefault="009B7EB0">
            <w:pPr>
              <w:rPr>
                <w:b/>
              </w:rPr>
            </w:pPr>
            <w:r w:rsidRPr="009B7EB0">
              <w:rPr>
                <w:b/>
              </w:rPr>
              <w:t>Pollutant:</w:t>
            </w:r>
          </w:p>
        </w:tc>
        <w:tc>
          <w:tcPr>
            <w:tcW w:w="2310" w:type="dxa"/>
          </w:tcPr>
          <w:p w14:paraId="48A34831" w14:textId="77777777" w:rsidR="009B7EB0" w:rsidRPr="009B7EB0" w:rsidRDefault="009B7EB0">
            <w:pPr>
              <w:rPr>
                <w:b/>
              </w:rPr>
            </w:pPr>
            <w:r w:rsidRPr="009B7EB0">
              <w:rPr>
                <w:b/>
              </w:rPr>
              <w:t>Objective:</w:t>
            </w:r>
          </w:p>
        </w:tc>
        <w:tc>
          <w:tcPr>
            <w:tcW w:w="2311" w:type="dxa"/>
          </w:tcPr>
          <w:p w14:paraId="3B154B41" w14:textId="77777777" w:rsidR="009B7EB0" w:rsidRPr="009B7EB0" w:rsidRDefault="009B7EB0">
            <w:pPr>
              <w:rPr>
                <w:b/>
              </w:rPr>
            </w:pPr>
            <w:r w:rsidRPr="009B7EB0">
              <w:rPr>
                <w:b/>
              </w:rPr>
              <w:t>Concentration measured as:</w:t>
            </w:r>
          </w:p>
        </w:tc>
        <w:tc>
          <w:tcPr>
            <w:tcW w:w="2311" w:type="dxa"/>
          </w:tcPr>
          <w:p w14:paraId="3AF4D315" w14:textId="77777777" w:rsidR="009B7EB0" w:rsidRPr="009B7EB0" w:rsidRDefault="009B7EB0">
            <w:pPr>
              <w:rPr>
                <w:b/>
              </w:rPr>
            </w:pPr>
            <w:r w:rsidRPr="009B7EB0">
              <w:rPr>
                <w:b/>
              </w:rPr>
              <w:t>Date to be achieved by:</w:t>
            </w:r>
          </w:p>
        </w:tc>
      </w:tr>
      <w:tr w:rsidR="009B7EB0" w14:paraId="139872A1" w14:textId="77777777" w:rsidTr="009B7EB0">
        <w:tc>
          <w:tcPr>
            <w:tcW w:w="2310" w:type="dxa"/>
          </w:tcPr>
          <w:p w14:paraId="448FF4DF" w14:textId="77777777" w:rsidR="009B7EB0" w:rsidRDefault="009B7EB0">
            <w:r>
              <w:t>Ozone</w:t>
            </w:r>
          </w:p>
        </w:tc>
        <w:tc>
          <w:tcPr>
            <w:tcW w:w="2310" w:type="dxa"/>
          </w:tcPr>
          <w:p w14:paraId="61B1F2BD" w14:textId="77777777" w:rsidR="009B7EB0" w:rsidRDefault="009B7EB0">
            <w:r>
              <w:t>100</w:t>
            </w:r>
            <w:r w:rsidR="00BC5BB7">
              <w:t>µ</w:t>
            </w:r>
            <w:r>
              <w:t>gm</w:t>
            </w:r>
            <w:r w:rsidRPr="00BC5BB7">
              <w:rPr>
                <w:vertAlign w:val="superscript"/>
              </w:rPr>
              <w:t>-3</w:t>
            </w:r>
            <w:r>
              <w:t xml:space="preserve"> not to be exceeded more than ten times a year</w:t>
            </w:r>
          </w:p>
        </w:tc>
        <w:tc>
          <w:tcPr>
            <w:tcW w:w="2311" w:type="dxa"/>
          </w:tcPr>
          <w:p w14:paraId="02BA33CD" w14:textId="77777777" w:rsidR="009B7EB0" w:rsidRDefault="009B7EB0">
            <w:r>
              <w:t>8 hour mean</w:t>
            </w:r>
          </w:p>
        </w:tc>
        <w:tc>
          <w:tcPr>
            <w:tcW w:w="2311" w:type="dxa"/>
          </w:tcPr>
          <w:p w14:paraId="3C61EB9B" w14:textId="77777777" w:rsidR="009B7EB0" w:rsidRDefault="009B7EB0">
            <w:r>
              <w:t>31 December 2005</w:t>
            </w:r>
          </w:p>
        </w:tc>
      </w:tr>
    </w:tbl>
    <w:p w14:paraId="5A724262" w14:textId="77777777" w:rsidR="005F4241" w:rsidRDefault="005F4241"/>
    <w:p w14:paraId="6C6996C5" w14:textId="464BBDFD" w:rsidR="001A13B6" w:rsidRDefault="0096252A">
      <w:r>
        <w:lastRenderedPageBreak/>
        <w:t xml:space="preserve">Nevertheless, given the non-statutory nature of the </w:t>
      </w:r>
      <w:r w:rsidR="00F07EC2">
        <w:t>monitoring it is intended to withdraw from ozone monitoring.</w:t>
      </w:r>
    </w:p>
    <w:p w14:paraId="29C9F65C" w14:textId="77777777" w:rsidR="009B7EB0" w:rsidRDefault="009B7EB0" w:rsidP="009B7EB0">
      <w:pPr>
        <w:spacing w:after="0"/>
      </w:pPr>
      <w:r w:rsidRPr="006D6E00">
        <w:rPr>
          <w:b/>
        </w:rPr>
        <w:t xml:space="preserve">Graph </w:t>
      </w:r>
      <w:r w:rsidR="00B61C7B">
        <w:rPr>
          <w:b/>
        </w:rPr>
        <w:t>x</w:t>
      </w:r>
      <w:r w:rsidR="006D6E00" w:rsidRPr="006D6E00">
        <w:rPr>
          <w:b/>
        </w:rPr>
        <w:t>i</w:t>
      </w:r>
      <w:r w:rsidRPr="006D6E00">
        <w:rPr>
          <w:b/>
        </w:rPr>
        <w:t>:</w:t>
      </w:r>
      <w:r>
        <w:t xml:space="preserve"> </w:t>
      </w:r>
      <w:r w:rsidR="00BC5BB7">
        <w:t>Ozone monitoring data from Lodsworth real-time Ozone monitoring station</w:t>
      </w:r>
      <w:r w:rsidR="00104989">
        <w:t>:</w:t>
      </w:r>
    </w:p>
    <w:p w14:paraId="43FCE563" w14:textId="77777777" w:rsidR="0096252A" w:rsidRDefault="00F07EC2">
      <w:r>
        <w:rPr>
          <w:noProof/>
          <w:lang w:eastAsia="en-GB"/>
        </w:rPr>
        <w:drawing>
          <wp:inline distT="0" distB="0" distL="0" distR="0" wp14:anchorId="6DB4E3BB" wp14:editId="65808B4D">
            <wp:extent cx="4871923" cy="3159483"/>
            <wp:effectExtent l="0" t="0" r="5080" b="3175"/>
            <wp:docPr id="288" name="Picture 288" descr="Graph X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Graph XI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73962" cy="3160806"/>
                    </a:xfrm>
                    <a:prstGeom prst="rect">
                      <a:avLst/>
                    </a:prstGeom>
                    <a:noFill/>
                  </pic:spPr>
                </pic:pic>
              </a:graphicData>
            </a:graphic>
          </wp:inline>
        </w:drawing>
      </w:r>
    </w:p>
    <w:p w14:paraId="57F8E91F" w14:textId="77777777" w:rsidR="007A2E61" w:rsidRDefault="007A2E61" w:rsidP="00442FD7">
      <w:pPr>
        <w:pStyle w:val="Heading1"/>
        <w:numPr>
          <w:ilvl w:val="0"/>
          <w:numId w:val="25"/>
        </w:numPr>
      </w:pPr>
      <w:bookmarkStart w:id="36" w:name="_Toc96511386"/>
      <w:r>
        <w:t>Air Quality Modelling Data in Chichester District</w:t>
      </w:r>
      <w:bookmarkEnd w:id="36"/>
    </w:p>
    <w:p w14:paraId="03142228" w14:textId="77777777" w:rsidR="00351B2F" w:rsidRPr="001A70F5" w:rsidRDefault="00351B2F" w:rsidP="001A70F5">
      <w:pPr>
        <w:pStyle w:val="ListParagraph"/>
        <w:numPr>
          <w:ilvl w:val="0"/>
          <w:numId w:val="26"/>
        </w:numPr>
        <w:rPr>
          <w:b/>
        </w:rPr>
      </w:pPr>
      <w:r w:rsidRPr="001A70F5">
        <w:rPr>
          <w:b/>
        </w:rPr>
        <w:t>Introduction</w:t>
      </w:r>
    </w:p>
    <w:p w14:paraId="366F0E7B" w14:textId="77777777" w:rsidR="00424DE3" w:rsidRDefault="00BA4751">
      <w:r>
        <w:t>Air quality modelling is an important tool for air quality scientists as it allows us to predict future air quality</w:t>
      </w:r>
      <w:r w:rsidR="00F83E30">
        <w:t xml:space="preserve"> for specified pollutants </w:t>
      </w:r>
      <w:r w:rsidR="00424DE3">
        <w:t xml:space="preserve">and provide us with a spatial picture of air pollution.  This compares to air quality monitoring which informs us about the past and </w:t>
      </w:r>
      <w:r w:rsidR="00F83E30">
        <w:t xml:space="preserve">(spatially) </w:t>
      </w:r>
      <w:r w:rsidR="00424DE3">
        <w:t xml:space="preserve">only for the monitoring point where the data was collected. </w:t>
      </w:r>
    </w:p>
    <w:p w14:paraId="5D8B5622" w14:textId="2CCD720D" w:rsidR="00E56BF0" w:rsidRDefault="00E56BF0">
      <w:r>
        <w:t xml:space="preserve">Modelling also allows insights into the sources of pollution that make up the overall burden in any modelled location. This is known as ‘source-apportionment’ </w:t>
      </w:r>
      <w:r w:rsidR="00F83E30">
        <w:t>and</w:t>
      </w:r>
      <w:r>
        <w:t xml:space="preserve"> allows for policy makers more discrimination into what sources of pollution are most important. This is evidence upon which we can build a targeted response pointed at the worst polluters</w:t>
      </w:r>
      <w:r w:rsidR="00F83E30">
        <w:t xml:space="preserve"> on a location by location basis</w:t>
      </w:r>
      <w:r>
        <w:t xml:space="preserve">. Furthermore modelling allows us to </w:t>
      </w:r>
      <w:r w:rsidR="00AF25F2">
        <w:t>predict</w:t>
      </w:r>
      <w:r>
        <w:t xml:space="preserve"> the impact of proposed actions to inform our understanding before we commit our resources to any one action.</w:t>
      </w:r>
      <w:r w:rsidR="00351B2F">
        <w:t xml:space="preserve"> </w:t>
      </w:r>
    </w:p>
    <w:p w14:paraId="457431D7" w14:textId="1461B26D" w:rsidR="00424DE3" w:rsidRDefault="00E56BF0">
      <w:r>
        <w:t xml:space="preserve">CDC does not have an in-house capability for air quality modelling and as such </w:t>
      </w:r>
      <w:r w:rsidR="000070D4">
        <w:t xml:space="preserve">commissioned </w:t>
      </w:r>
      <w:r>
        <w:t xml:space="preserve">external consultants to deliver the modelling. </w:t>
      </w:r>
      <w:r w:rsidR="00351B2F">
        <w:t xml:space="preserve">The full report is </w:t>
      </w:r>
      <w:r w:rsidR="00023D23">
        <w:t>available as a separate document, see website.</w:t>
      </w:r>
    </w:p>
    <w:p w14:paraId="15A8D6A1" w14:textId="77777777" w:rsidR="00351B2F" w:rsidRDefault="00F83E30">
      <w:r>
        <w:rPr>
          <w:b/>
        </w:rPr>
        <w:t>Scope</w:t>
      </w:r>
      <w:r w:rsidR="00A97AA2">
        <w:rPr>
          <w:b/>
        </w:rPr>
        <w:t xml:space="preserve"> and description</w:t>
      </w:r>
      <w:r>
        <w:rPr>
          <w:b/>
        </w:rPr>
        <w:t xml:space="preserve"> of the </w:t>
      </w:r>
      <w:r w:rsidR="00A97AA2">
        <w:rPr>
          <w:b/>
        </w:rPr>
        <w:t xml:space="preserve">air quality </w:t>
      </w:r>
      <w:r>
        <w:rPr>
          <w:b/>
        </w:rPr>
        <w:t>modelling work</w:t>
      </w:r>
    </w:p>
    <w:p w14:paraId="093EA9F2" w14:textId="77777777" w:rsidR="00F83E30" w:rsidRDefault="00F83E30">
      <w:r>
        <w:t>Our consultant was instructed to provide modelling data for a range of locations for the years 2018, 2020 and 2025. The locations specified were:</w:t>
      </w:r>
    </w:p>
    <w:p w14:paraId="440A5905" w14:textId="77777777" w:rsidR="00F83E30" w:rsidRDefault="00F83E30" w:rsidP="00B670ED">
      <w:pPr>
        <w:spacing w:after="0"/>
      </w:pPr>
      <w:r>
        <w:t>The Locations of the AQMAs ie:</w:t>
      </w:r>
    </w:p>
    <w:p w14:paraId="5C05DFD1" w14:textId="77777777" w:rsidR="00F83E30" w:rsidRDefault="00F83E30" w:rsidP="00F83E30">
      <w:pPr>
        <w:pStyle w:val="ListParagraph"/>
        <w:numPr>
          <w:ilvl w:val="0"/>
          <w:numId w:val="6"/>
        </w:numPr>
      </w:pPr>
      <w:r>
        <w:lastRenderedPageBreak/>
        <w:t>Orchards Street,</w:t>
      </w:r>
    </w:p>
    <w:p w14:paraId="68684E4F" w14:textId="77777777" w:rsidR="00F83E30" w:rsidRDefault="00F83E30" w:rsidP="00F83E30">
      <w:pPr>
        <w:pStyle w:val="ListParagraph"/>
        <w:numPr>
          <w:ilvl w:val="0"/>
          <w:numId w:val="6"/>
        </w:numPr>
      </w:pPr>
      <w:r>
        <w:t>Stockbridge A27 roundabout, C</w:t>
      </w:r>
      <w:r w:rsidR="00B670ED">
        <w:t>h</w:t>
      </w:r>
      <w:r>
        <w:t>ichester</w:t>
      </w:r>
      <w:r w:rsidR="00B670ED">
        <w:t>,</w:t>
      </w:r>
    </w:p>
    <w:p w14:paraId="0491106F" w14:textId="77777777" w:rsidR="00B670ED" w:rsidRDefault="00B670ED" w:rsidP="00F83E30">
      <w:pPr>
        <w:pStyle w:val="ListParagraph"/>
        <w:numPr>
          <w:ilvl w:val="0"/>
          <w:numId w:val="6"/>
        </w:numPr>
      </w:pPr>
      <w:r>
        <w:t>St Pancras, Chichester and</w:t>
      </w:r>
    </w:p>
    <w:p w14:paraId="4C301CBC" w14:textId="77777777" w:rsidR="00B670ED" w:rsidRDefault="00B670ED" w:rsidP="00F83E30">
      <w:pPr>
        <w:pStyle w:val="ListParagraph"/>
        <w:numPr>
          <w:ilvl w:val="0"/>
          <w:numId w:val="6"/>
        </w:numPr>
      </w:pPr>
      <w:r>
        <w:t>Rumbold’s Hill, Midhurst.</w:t>
      </w:r>
    </w:p>
    <w:p w14:paraId="6CCB2ACA" w14:textId="77777777" w:rsidR="00B670ED" w:rsidRDefault="00B670ED" w:rsidP="00B670ED">
      <w:r>
        <w:t>Additional locations were specified, with the reason for them being specified for modelling</w:t>
      </w:r>
      <w:r w:rsidR="00093AD1">
        <w:t xml:space="preserve"> provided</w:t>
      </w:r>
      <w:r>
        <w:t xml:space="preserve"> in brackets, as follows:</w:t>
      </w:r>
    </w:p>
    <w:p w14:paraId="4935870F" w14:textId="77777777" w:rsidR="00B670ED" w:rsidRDefault="00B670ED" w:rsidP="00B670ED">
      <w:pPr>
        <w:pStyle w:val="ListParagraph"/>
        <w:numPr>
          <w:ilvl w:val="0"/>
          <w:numId w:val="7"/>
        </w:numPr>
        <w:spacing w:after="0"/>
      </w:pPr>
      <w:r>
        <w:t>The Hornet, Chichester (</w:t>
      </w:r>
      <w:r w:rsidR="00093AD1">
        <w:t xml:space="preserve">the Council’s diffusion tube </w:t>
      </w:r>
      <w:r>
        <w:t>monitoring data indicated a potential for the site to breach the NO</w:t>
      </w:r>
      <w:r w:rsidRPr="00BB62A0">
        <w:rPr>
          <w:vertAlign w:val="subscript"/>
        </w:rPr>
        <w:t>2</w:t>
      </w:r>
      <w:r>
        <w:t xml:space="preserve"> annual mean standard),</w:t>
      </w:r>
    </w:p>
    <w:p w14:paraId="258B3812" w14:textId="77777777" w:rsidR="00B670ED" w:rsidRDefault="00B670ED" w:rsidP="00B670ED">
      <w:pPr>
        <w:pStyle w:val="ListParagraph"/>
        <w:numPr>
          <w:ilvl w:val="0"/>
          <w:numId w:val="7"/>
        </w:numPr>
        <w:spacing w:after="0"/>
      </w:pPr>
      <w:r>
        <w:t>Whyke A27 roundabout, Chichester (</w:t>
      </w:r>
      <w:r w:rsidRPr="00B670ED">
        <w:t>HE A27 Chichester Bypass Environmental Study Report Appendices (February 2016)</w:t>
      </w:r>
      <w:r>
        <w:t xml:space="preserve"> detail air quality monitoring that exceeded the NO</w:t>
      </w:r>
      <w:r w:rsidRPr="00BB62A0">
        <w:rPr>
          <w:vertAlign w:val="subscript"/>
        </w:rPr>
        <w:t>2</w:t>
      </w:r>
      <w:r>
        <w:t xml:space="preserve"> annual mean air quality standard and </w:t>
      </w:r>
      <w:r w:rsidR="006F2FE1">
        <w:t>air quality modelling submitted with planning application reference 19/01286/FUL predicted an annual mean concentration of NO</w:t>
      </w:r>
      <w:r w:rsidR="006F2FE1" w:rsidRPr="00BB62A0">
        <w:rPr>
          <w:vertAlign w:val="subscript"/>
        </w:rPr>
        <w:t>2</w:t>
      </w:r>
      <w:r w:rsidR="006F2FE1">
        <w:t xml:space="preserve"> for 2019 of 39.6µgm</w:t>
      </w:r>
      <w:r w:rsidR="006F2FE1" w:rsidRPr="00BB62A0">
        <w:rPr>
          <w:vertAlign w:val="superscript"/>
        </w:rPr>
        <w:t>-</w:t>
      </w:r>
      <w:r w:rsidR="006F2FE1" w:rsidRPr="006F2FE1">
        <w:rPr>
          <w:vertAlign w:val="superscript"/>
        </w:rPr>
        <w:t>3</w:t>
      </w:r>
      <w:r w:rsidR="00BB62A0">
        <w:t>).</w:t>
      </w:r>
    </w:p>
    <w:p w14:paraId="68F2DA69" w14:textId="77777777" w:rsidR="00890E2F" w:rsidRDefault="006F2FE1">
      <w:r>
        <w:t>Modelling was undertaken using software known as the Advanced Dispersion Modelling Software (ADMS Roads). Other details of the modelling approach include:</w:t>
      </w:r>
    </w:p>
    <w:p w14:paraId="47B1E01C" w14:textId="77777777" w:rsidR="0099567C" w:rsidRDefault="0099567C" w:rsidP="0099567C">
      <w:pPr>
        <w:pStyle w:val="ListParagraph"/>
        <w:numPr>
          <w:ilvl w:val="0"/>
          <w:numId w:val="8"/>
        </w:numPr>
      </w:pPr>
      <w:r>
        <w:t>The pollutants modelled were; NO</w:t>
      </w:r>
      <w:r w:rsidRPr="0099567C">
        <w:rPr>
          <w:vertAlign w:val="subscript"/>
        </w:rPr>
        <w:t>2</w:t>
      </w:r>
      <w:r>
        <w:t>, PM</w:t>
      </w:r>
      <w:r w:rsidRPr="00AF25F2">
        <w:rPr>
          <w:vertAlign w:val="subscript"/>
        </w:rPr>
        <w:t>10</w:t>
      </w:r>
      <w:r>
        <w:t xml:space="preserve"> and PM</w:t>
      </w:r>
      <w:r w:rsidRPr="00AF25F2">
        <w:rPr>
          <w:vertAlign w:val="subscript"/>
        </w:rPr>
        <w:t>2.5</w:t>
      </w:r>
      <w:r>
        <w:t xml:space="preserve"> all as annual mean concentrations,</w:t>
      </w:r>
    </w:p>
    <w:p w14:paraId="0DEF7694" w14:textId="77777777" w:rsidR="0099567C" w:rsidRDefault="0099567C" w:rsidP="0099567C">
      <w:pPr>
        <w:pStyle w:val="ListParagraph"/>
        <w:numPr>
          <w:ilvl w:val="0"/>
          <w:numId w:val="8"/>
        </w:numPr>
      </w:pPr>
      <w:r>
        <w:t>for the base year 2018 and future years 2020 and 2025,</w:t>
      </w:r>
    </w:p>
    <w:p w14:paraId="36A4CE87" w14:textId="77777777" w:rsidR="0099567C" w:rsidRDefault="0099567C" w:rsidP="0099567C">
      <w:pPr>
        <w:pStyle w:val="ListParagraph"/>
        <w:numPr>
          <w:ilvl w:val="0"/>
          <w:numId w:val="8"/>
        </w:numPr>
      </w:pPr>
      <w:r>
        <w:t xml:space="preserve">predictions for specified property facades in and around the locations specified above, </w:t>
      </w:r>
    </w:p>
    <w:p w14:paraId="6B93E4CF" w14:textId="77777777" w:rsidR="0099567C" w:rsidRDefault="0099567C" w:rsidP="0099567C">
      <w:pPr>
        <w:pStyle w:val="ListParagraph"/>
        <w:numPr>
          <w:ilvl w:val="0"/>
          <w:numId w:val="8"/>
        </w:numPr>
      </w:pPr>
      <w:r>
        <w:t>using the most relevant meteorological data-set (for Charlwood, 2018),</w:t>
      </w:r>
    </w:p>
    <w:p w14:paraId="23BDDC40" w14:textId="77777777" w:rsidR="0099567C" w:rsidRDefault="0099567C" w:rsidP="0099567C">
      <w:pPr>
        <w:pStyle w:val="ListParagraph"/>
        <w:numPr>
          <w:ilvl w:val="0"/>
          <w:numId w:val="8"/>
        </w:numPr>
      </w:pPr>
      <w:r>
        <w:t>using CDC air quality monitoring data,</w:t>
      </w:r>
    </w:p>
    <w:p w14:paraId="45B75140" w14:textId="77777777" w:rsidR="0099567C" w:rsidRDefault="0099567C" w:rsidP="0099567C">
      <w:pPr>
        <w:pStyle w:val="ListParagraph"/>
        <w:numPr>
          <w:ilvl w:val="0"/>
          <w:numId w:val="8"/>
        </w:numPr>
      </w:pPr>
      <w:r>
        <w:t>using DEFRA background air quality data,</w:t>
      </w:r>
    </w:p>
    <w:p w14:paraId="24B4E176" w14:textId="6BCA667A" w:rsidR="0099567C" w:rsidRDefault="0099567C" w:rsidP="0099567C">
      <w:pPr>
        <w:pStyle w:val="ListParagraph"/>
        <w:numPr>
          <w:ilvl w:val="0"/>
          <w:numId w:val="8"/>
        </w:numPr>
      </w:pPr>
      <w:r>
        <w:t xml:space="preserve">using WSCC, DfT and </w:t>
      </w:r>
      <w:r w:rsidR="00F17454">
        <w:t>N</w:t>
      </w:r>
      <w:r>
        <w:t xml:space="preserve">H traffic data and future year growth factors agreed with WSCC, </w:t>
      </w:r>
    </w:p>
    <w:p w14:paraId="4A3A4435" w14:textId="77777777" w:rsidR="00A31C9F" w:rsidRDefault="00A31C9F" w:rsidP="0099567C">
      <w:pPr>
        <w:pStyle w:val="ListParagraph"/>
        <w:numPr>
          <w:ilvl w:val="0"/>
          <w:numId w:val="8"/>
        </w:numPr>
      </w:pPr>
      <w:r>
        <w:t>using the DEFRA Emissions Factors Toolkit,</w:t>
      </w:r>
    </w:p>
    <w:p w14:paraId="38578503" w14:textId="77777777" w:rsidR="0099567C" w:rsidRDefault="0099567C" w:rsidP="0099567C">
      <w:pPr>
        <w:pStyle w:val="ListParagraph"/>
        <w:numPr>
          <w:ilvl w:val="0"/>
          <w:numId w:val="8"/>
        </w:numPr>
      </w:pPr>
      <w:r>
        <w:t>traffic data included 11 categories of vehicles (including bus fleet data supplied by WSCC) and</w:t>
      </w:r>
    </w:p>
    <w:p w14:paraId="1096A32D" w14:textId="77777777" w:rsidR="0099567C" w:rsidRDefault="0099567C" w:rsidP="0099567C">
      <w:pPr>
        <w:pStyle w:val="ListParagraph"/>
        <w:numPr>
          <w:ilvl w:val="0"/>
          <w:numId w:val="8"/>
        </w:numPr>
      </w:pPr>
      <w:r>
        <w:t>the ADMS model was set-up to reflect the urban topography and acceleration and braking of vehicles at junctions.</w:t>
      </w:r>
    </w:p>
    <w:p w14:paraId="7DFEBC14" w14:textId="77777777" w:rsidR="006F2FE1" w:rsidRDefault="0099567C">
      <w:r>
        <w:t>As per best practice</w:t>
      </w:r>
      <w:r w:rsidR="006811F1">
        <w:t xml:space="preserve"> specified in the DEFRA guidance (TG(16))</w:t>
      </w:r>
      <w:r>
        <w:t xml:space="preserve"> the model was run for each location and then </w:t>
      </w:r>
      <w:r w:rsidR="006811F1">
        <w:t xml:space="preserve">verified for the baseline year of 2018. This is done by comparing the </w:t>
      </w:r>
      <w:r w:rsidR="00A97AA2">
        <w:t>model</w:t>
      </w:r>
      <w:r w:rsidR="00AF25F2">
        <w:t>’s output</w:t>
      </w:r>
      <w:r w:rsidR="00A97AA2">
        <w:t xml:space="preserve"> predictions for 2018 to the relevant monitoring location</w:t>
      </w:r>
      <w:r w:rsidR="00AF25F2">
        <w:t>’s data</w:t>
      </w:r>
      <w:r w:rsidR="00A97AA2">
        <w:t>. An adjustment factor is then derived which is applied to the model on a location specific basis.</w:t>
      </w:r>
      <w:r w:rsidR="000F23B7">
        <w:t xml:space="preserve"> The verified model was then run to make predictions as presented below.</w:t>
      </w:r>
    </w:p>
    <w:p w14:paraId="30823717" w14:textId="77777777" w:rsidR="00254DAA" w:rsidRDefault="00254DAA">
      <w:r>
        <w:t xml:space="preserve">Because the traffic data input into the model was broken down into 11 vehicle classes then the ADMS model also provides separate </w:t>
      </w:r>
      <w:r w:rsidR="00AF25F2">
        <w:t>predictions</w:t>
      </w:r>
      <w:r>
        <w:t xml:space="preserve"> for each class of vehicle. This is known as ‘source apportionment’ and allows for an understanding of the relative contribution of pollution </w:t>
      </w:r>
      <w:r w:rsidR="001D1052">
        <w:t>from each vehicle class.</w:t>
      </w:r>
    </w:p>
    <w:p w14:paraId="0E882F85" w14:textId="77777777" w:rsidR="00A97AA2" w:rsidRDefault="001D1052">
      <w:r>
        <w:rPr>
          <w:b/>
        </w:rPr>
        <w:t>Baseline model results</w:t>
      </w:r>
    </w:p>
    <w:p w14:paraId="1993C3B5" w14:textId="77777777" w:rsidR="001D1052" w:rsidRDefault="001D1052">
      <w:r>
        <w:t xml:space="preserve">The model output data for a ‘do nothing’ scenario is as presented in Table </w:t>
      </w:r>
      <w:r w:rsidR="00947DF1">
        <w:t>6</w:t>
      </w:r>
      <w:r>
        <w:t xml:space="preserve"> below:</w:t>
      </w:r>
    </w:p>
    <w:p w14:paraId="54C7A7AE" w14:textId="77777777" w:rsidR="006905D5" w:rsidRDefault="006905D5" w:rsidP="00947DF1">
      <w:pPr>
        <w:pStyle w:val="Caption"/>
        <w:keepNext/>
        <w:spacing w:after="0"/>
        <w:rPr>
          <w:bCs w:val="0"/>
          <w:color w:val="auto"/>
          <w:sz w:val="22"/>
          <w:szCs w:val="22"/>
        </w:rPr>
      </w:pPr>
    </w:p>
    <w:p w14:paraId="0A78AF82" w14:textId="77777777" w:rsidR="00BB23A5" w:rsidRPr="00BB23A5" w:rsidRDefault="00BB23A5" w:rsidP="00947DF1">
      <w:pPr>
        <w:pStyle w:val="Caption"/>
        <w:keepNext/>
        <w:spacing w:after="0"/>
        <w:rPr>
          <w:b w:val="0"/>
          <w:bCs w:val="0"/>
          <w:color w:val="auto"/>
          <w:sz w:val="22"/>
          <w:szCs w:val="22"/>
        </w:rPr>
      </w:pPr>
      <w:r w:rsidRPr="00BB23A5">
        <w:rPr>
          <w:bCs w:val="0"/>
          <w:color w:val="auto"/>
          <w:sz w:val="22"/>
          <w:szCs w:val="22"/>
        </w:rPr>
        <w:t xml:space="preserve">Table </w:t>
      </w:r>
      <w:r w:rsidRPr="00BB23A5">
        <w:rPr>
          <w:bCs w:val="0"/>
          <w:color w:val="auto"/>
          <w:sz w:val="22"/>
          <w:szCs w:val="22"/>
        </w:rPr>
        <w:fldChar w:fldCharType="begin"/>
      </w:r>
      <w:r w:rsidRPr="00BB23A5">
        <w:rPr>
          <w:bCs w:val="0"/>
          <w:color w:val="auto"/>
          <w:sz w:val="22"/>
          <w:szCs w:val="22"/>
        </w:rPr>
        <w:instrText xml:space="preserve"> SEQ Table \* ARABIC </w:instrText>
      </w:r>
      <w:r w:rsidRPr="00BB23A5">
        <w:rPr>
          <w:bCs w:val="0"/>
          <w:color w:val="auto"/>
          <w:sz w:val="22"/>
          <w:szCs w:val="22"/>
        </w:rPr>
        <w:fldChar w:fldCharType="separate"/>
      </w:r>
      <w:r w:rsidR="00947DF1">
        <w:rPr>
          <w:bCs w:val="0"/>
          <w:noProof/>
          <w:color w:val="auto"/>
          <w:sz w:val="22"/>
          <w:szCs w:val="22"/>
        </w:rPr>
        <w:t>6</w:t>
      </w:r>
      <w:r w:rsidRPr="00BB23A5">
        <w:rPr>
          <w:bCs w:val="0"/>
          <w:color w:val="auto"/>
          <w:sz w:val="22"/>
          <w:szCs w:val="22"/>
        </w:rPr>
        <w:fldChar w:fldCharType="end"/>
      </w:r>
      <w:r w:rsidRPr="00BB23A5">
        <w:rPr>
          <w:bCs w:val="0"/>
          <w:color w:val="auto"/>
          <w:sz w:val="22"/>
          <w:szCs w:val="22"/>
        </w:rPr>
        <w:t>:</w:t>
      </w:r>
      <w:r w:rsidRPr="00BB23A5">
        <w:rPr>
          <w:b w:val="0"/>
          <w:bCs w:val="0"/>
          <w:color w:val="auto"/>
          <w:sz w:val="22"/>
          <w:szCs w:val="22"/>
        </w:rPr>
        <w:t xml:space="preserve"> Baseline model output NO</w:t>
      </w:r>
      <w:r w:rsidRPr="00D17C5C">
        <w:rPr>
          <w:b w:val="0"/>
          <w:bCs w:val="0"/>
          <w:color w:val="auto"/>
          <w:sz w:val="22"/>
          <w:szCs w:val="22"/>
          <w:vertAlign w:val="subscript"/>
        </w:rPr>
        <w:t>2</w:t>
      </w:r>
      <w:r w:rsidRPr="00BB23A5">
        <w:rPr>
          <w:b w:val="0"/>
          <w:bCs w:val="0"/>
          <w:color w:val="auto"/>
          <w:sz w:val="22"/>
          <w:szCs w:val="22"/>
        </w:rPr>
        <w:t xml:space="preserve"> Chichester locations</w:t>
      </w:r>
      <w:r w:rsidR="00947DF1">
        <w:rPr>
          <w:b w:val="0"/>
          <w:bCs w:val="0"/>
          <w:color w:val="auto"/>
          <w:sz w:val="22"/>
          <w:szCs w:val="22"/>
        </w:rPr>
        <w:t>:</w:t>
      </w:r>
    </w:p>
    <w:tbl>
      <w:tblPr>
        <w:tblW w:w="7765" w:type="dxa"/>
        <w:tblInd w:w="93" w:type="dxa"/>
        <w:tblLook w:val="04A0" w:firstRow="1" w:lastRow="0" w:firstColumn="1" w:lastColumn="0" w:noHBand="0" w:noVBand="1"/>
      </w:tblPr>
      <w:tblGrid>
        <w:gridCol w:w="1045"/>
        <w:gridCol w:w="960"/>
        <w:gridCol w:w="960"/>
        <w:gridCol w:w="960"/>
        <w:gridCol w:w="960"/>
        <w:gridCol w:w="960"/>
        <w:gridCol w:w="960"/>
        <w:gridCol w:w="960"/>
      </w:tblGrid>
      <w:tr w:rsidR="00D6583E" w:rsidRPr="00D6583E" w14:paraId="38576B52" w14:textId="77777777" w:rsidTr="00BB23A5">
        <w:trPr>
          <w:trHeight w:val="300"/>
        </w:trPr>
        <w:tc>
          <w:tcPr>
            <w:tcW w:w="1045" w:type="dxa"/>
            <w:tcBorders>
              <w:top w:val="nil"/>
              <w:left w:val="nil"/>
              <w:bottom w:val="nil"/>
              <w:right w:val="nil"/>
            </w:tcBorders>
            <w:shd w:val="clear" w:color="auto" w:fill="auto"/>
            <w:noWrap/>
            <w:vAlign w:val="bottom"/>
            <w:hideMark/>
          </w:tcPr>
          <w:p w14:paraId="52F1B3EA" w14:textId="77777777" w:rsidR="00D6583E" w:rsidRPr="00D6583E" w:rsidRDefault="00D6583E" w:rsidP="00D6583E">
            <w:pPr>
              <w:spacing w:after="0" w:line="240" w:lineRule="auto"/>
              <w:rPr>
                <w:rFonts w:ascii="Calibri" w:eastAsia="Times New Roman" w:hAnsi="Calibri" w:cs="Times New Roman"/>
                <w:b/>
                <w:bCs/>
                <w:color w:val="000000"/>
                <w:lang w:eastAsia="en-GB"/>
              </w:rPr>
            </w:pPr>
          </w:p>
        </w:tc>
        <w:tc>
          <w:tcPr>
            <w:tcW w:w="672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FFFDC"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Chichester</w:t>
            </w:r>
          </w:p>
        </w:tc>
      </w:tr>
      <w:tr w:rsidR="00D6583E" w:rsidRPr="00D6583E" w14:paraId="044461DD" w14:textId="77777777" w:rsidTr="00BB23A5">
        <w:trPr>
          <w:trHeight w:val="375"/>
        </w:trPr>
        <w:tc>
          <w:tcPr>
            <w:tcW w:w="1045" w:type="dxa"/>
            <w:tcBorders>
              <w:top w:val="nil"/>
              <w:left w:val="nil"/>
              <w:bottom w:val="nil"/>
              <w:right w:val="nil"/>
            </w:tcBorders>
            <w:shd w:val="clear" w:color="auto" w:fill="auto"/>
            <w:noWrap/>
            <w:vAlign w:val="bottom"/>
            <w:hideMark/>
          </w:tcPr>
          <w:p w14:paraId="0CBCFECF" w14:textId="77777777" w:rsidR="00D6583E" w:rsidRPr="00D6583E" w:rsidRDefault="00D6583E" w:rsidP="00D6583E">
            <w:pPr>
              <w:spacing w:after="0" w:line="240" w:lineRule="auto"/>
              <w:rPr>
                <w:rFonts w:ascii="Calibri" w:eastAsia="Times New Roman" w:hAnsi="Calibri" w:cs="Times New Roman"/>
                <w:b/>
                <w:bCs/>
                <w:color w:val="000000"/>
                <w:lang w:eastAsia="en-GB"/>
              </w:rPr>
            </w:pPr>
          </w:p>
        </w:tc>
        <w:tc>
          <w:tcPr>
            <w:tcW w:w="672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812C1"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NO</w:t>
            </w:r>
            <w:r w:rsidRPr="00D6583E">
              <w:rPr>
                <w:rFonts w:ascii="Calibri" w:eastAsia="Times New Roman" w:hAnsi="Calibri" w:cs="Times New Roman"/>
                <w:b/>
                <w:bCs/>
                <w:color w:val="000000"/>
                <w:vertAlign w:val="subscript"/>
                <w:lang w:eastAsia="en-GB"/>
              </w:rPr>
              <w:t>2</w:t>
            </w:r>
            <w:r w:rsidRPr="00D6583E">
              <w:rPr>
                <w:rFonts w:ascii="Calibri" w:eastAsia="Times New Roman" w:hAnsi="Calibri" w:cs="Times New Roman"/>
                <w:b/>
                <w:bCs/>
                <w:color w:val="000000"/>
                <w:lang w:eastAsia="en-GB"/>
              </w:rPr>
              <w:t xml:space="preserve"> concentration - annual mean (µgm</w:t>
            </w:r>
            <w:r w:rsidRPr="00D6583E">
              <w:rPr>
                <w:rFonts w:ascii="Calibri" w:eastAsia="Times New Roman" w:hAnsi="Calibri" w:cs="Times New Roman"/>
                <w:b/>
                <w:bCs/>
                <w:color w:val="000000"/>
                <w:vertAlign w:val="superscript"/>
                <w:lang w:eastAsia="en-GB"/>
              </w:rPr>
              <w:t>-3</w:t>
            </w:r>
            <w:r w:rsidRPr="00D6583E">
              <w:rPr>
                <w:rFonts w:ascii="Calibri" w:eastAsia="Times New Roman" w:hAnsi="Calibri" w:cs="Times New Roman"/>
                <w:b/>
                <w:bCs/>
                <w:color w:val="000000"/>
                <w:lang w:eastAsia="en-GB"/>
              </w:rPr>
              <w:t>)</w:t>
            </w:r>
          </w:p>
        </w:tc>
      </w:tr>
      <w:tr w:rsidR="00D6583E" w:rsidRPr="00D6583E" w14:paraId="5008676C" w14:textId="77777777" w:rsidTr="00BB23A5">
        <w:trPr>
          <w:trHeight w:val="600"/>
        </w:trPr>
        <w:tc>
          <w:tcPr>
            <w:tcW w:w="10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6B1667" w14:textId="77777777" w:rsidR="00D6583E" w:rsidRPr="00D6583E" w:rsidRDefault="00D6583E" w:rsidP="00D6583E">
            <w:pPr>
              <w:spacing w:after="0" w:line="240" w:lineRule="auto"/>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Receptor location:</w:t>
            </w:r>
          </w:p>
        </w:tc>
        <w:tc>
          <w:tcPr>
            <w:tcW w:w="960" w:type="dxa"/>
            <w:tcBorders>
              <w:top w:val="nil"/>
              <w:left w:val="nil"/>
              <w:bottom w:val="single" w:sz="4" w:space="0" w:color="auto"/>
              <w:right w:val="single" w:sz="4" w:space="0" w:color="auto"/>
            </w:tcBorders>
            <w:shd w:val="clear" w:color="auto" w:fill="auto"/>
            <w:noWrap/>
            <w:vAlign w:val="bottom"/>
            <w:hideMark/>
          </w:tcPr>
          <w:p w14:paraId="7D475351"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2018</w:t>
            </w:r>
          </w:p>
        </w:tc>
        <w:tc>
          <w:tcPr>
            <w:tcW w:w="960" w:type="dxa"/>
            <w:tcBorders>
              <w:top w:val="nil"/>
              <w:left w:val="nil"/>
              <w:bottom w:val="single" w:sz="4" w:space="0" w:color="auto"/>
              <w:right w:val="single" w:sz="4" w:space="0" w:color="auto"/>
            </w:tcBorders>
            <w:shd w:val="clear" w:color="auto" w:fill="auto"/>
            <w:noWrap/>
            <w:vAlign w:val="bottom"/>
            <w:hideMark/>
          </w:tcPr>
          <w:p w14:paraId="34544BD4"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2020</w:t>
            </w:r>
          </w:p>
        </w:tc>
        <w:tc>
          <w:tcPr>
            <w:tcW w:w="960" w:type="dxa"/>
            <w:tcBorders>
              <w:top w:val="nil"/>
              <w:left w:val="nil"/>
              <w:bottom w:val="single" w:sz="4" w:space="0" w:color="auto"/>
              <w:right w:val="single" w:sz="4" w:space="0" w:color="auto"/>
            </w:tcBorders>
            <w:shd w:val="clear" w:color="auto" w:fill="auto"/>
            <w:noWrap/>
            <w:vAlign w:val="bottom"/>
            <w:hideMark/>
          </w:tcPr>
          <w:p w14:paraId="20EDD22B"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2021</w:t>
            </w:r>
          </w:p>
        </w:tc>
        <w:tc>
          <w:tcPr>
            <w:tcW w:w="960" w:type="dxa"/>
            <w:tcBorders>
              <w:top w:val="nil"/>
              <w:left w:val="nil"/>
              <w:bottom w:val="single" w:sz="4" w:space="0" w:color="auto"/>
              <w:right w:val="single" w:sz="4" w:space="0" w:color="auto"/>
            </w:tcBorders>
            <w:shd w:val="clear" w:color="auto" w:fill="auto"/>
            <w:noWrap/>
            <w:vAlign w:val="bottom"/>
            <w:hideMark/>
          </w:tcPr>
          <w:p w14:paraId="5EA48067"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2022</w:t>
            </w:r>
          </w:p>
        </w:tc>
        <w:tc>
          <w:tcPr>
            <w:tcW w:w="960" w:type="dxa"/>
            <w:tcBorders>
              <w:top w:val="nil"/>
              <w:left w:val="nil"/>
              <w:bottom w:val="single" w:sz="4" w:space="0" w:color="auto"/>
              <w:right w:val="single" w:sz="4" w:space="0" w:color="auto"/>
            </w:tcBorders>
            <w:shd w:val="clear" w:color="auto" w:fill="auto"/>
            <w:noWrap/>
            <w:vAlign w:val="bottom"/>
            <w:hideMark/>
          </w:tcPr>
          <w:p w14:paraId="67DEE5E1"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2023</w:t>
            </w:r>
          </w:p>
        </w:tc>
        <w:tc>
          <w:tcPr>
            <w:tcW w:w="960" w:type="dxa"/>
            <w:tcBorders>
              <w:top w:val="nil"/>
              <w:left w:val="nil"/>
              <w:bottom w:val="single" w:sz="4" w:space="0" w:color="auto"/>
              <w:right w:val="single" w:sz="4" w:space="0" w:color="auto"/>
            </w:tcBorders>
            <w:shd w:val="clear" w:color="auto" w:fill="auto"/>
            <w:noWrap/>
            <w:vAlign w:val="bottom"/>
            <w:hideMark/>
          </w:tcPr>
          <w:p w14:paraId="6D25C93E"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2024</w:t>
            </w:r>
          </w:p>
        </w:tc>
        <w:tc>
          <w:tcPr>
            <w:tcW w:w="960" w:type="dxa"/>
            <w:tcBorders>
              <w:top w:val="nil"/>
              <w:left w:val="nil"/>
              <w:bottom w:val="single" w:sz="4" w:space="0" w:color="auto"/>
              <w:right w:val="single" w:sz="4" w:space="0" w:color="auto"/>
            </w:tcBorders>
            <w:shd w:val="clear" w:color="auto" w:fill="auto"/>
            <w:noWrap/>
            <w:vAlign w:val="bottom"/>
            <w:hideMark/>
          </w:tcPr>
          <w:p w14:paraId="5DA64DED"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2025</w:t>
            </w:r>
          </w:p>
        </w:tc>
      </w:tr>
      <w:tr w:rsidR="00D6583E" w:rsidRPr="00D6583E" w14:paraId="621AA08D" w14:textId="77777777" w:rsidTr="00BB23A5">
        <w:trPr>
          <w:trHeight w:val="300"/>
        </w:trPr>
        <w:tc>
          <w:tcPr>
            <w:tcW w:w="1045" w:type="dxa"/>
            <w:tcBorders>
              <w:top w:val="nil"/>
              <w:left w:val="single" w:sz="4" w:space="0" w:color="auto"/>
              <w:bottom w:val="single" w:sz="4" w:space="0" w:color="auto"/>
              <w:right w:val="single" w:sz="4" w:space="0" w:color="auto"/>
            </w:tcBorders>
            <w:shd w:val="clear" w:color="auto" w:fill="auto"/>
            <w:noWrap/>
            <w:hideMark/>
          </w:tcPr>
          <w:p w14:paraId="6D746A68"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1</w:t>
            </w:r>
          </w:p>
        </w:tc>
        <w:tc>
          <w:tcPr>
            <w:tcW w:w="960" w:type="dxa"/>
            <w:tcBorders>
              <w:top w:val="nil"/>
              <w:left w:val="nil"/>
              <w:bottom w:val="single" w:sz="4" w:space="0" w:color="auto"/>
              <w:right w:val="single" w:sz="4" w:space="0" w:color="auto"/>
            </w:tcBorders>
            <w:shd w:val="clear" w:color="auto" w:fill="auto"/>
            <w:noWrap/>
            <w:vAlign w:val="bottom"/>
            <w:hideMark/>
          </w:tcPr>
          <w:p w14:paraId="2622FF42"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34.5</w:t>
            </w:r>
          </w:p>
        </w:tc>
        <w:tc>
          <w:tcPr>
            <w:tcW w:w="960" w:type="dxa"/>
            <w:tcBorders>
              <w:top w:val="nil"/>
              <w:left w:val="nil"/>
              <w:bottom w:val="single" w:sz="4" w:space="0" w:color="auto"/>
              <w:right w:val="single" w:sz="4" w:space="0" w:color="auto"/>
            </w:tcBorders>
            <w:shd w:val="clear" w:color="auto" w:fill="auto"/>
            <w:noWrap/>
            <w:vAlign w:val="bottom"/>
            <w:hideMark/>
          </w:tcPr>
          <w:p w14:paraId="27A75AF9"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31.5</w:t>
            </w:r>
          </w:p>
        </w:tc>
        <w:tc>
          <w:tcPr>
            <w:tcW w:w="960" w:type="dxa"/>
            <w:tcBorders>
              <w:top w:val="nil"/>
              <w:left w:val="nil"/>
              <w:bottom w:val="single" w:sz="4" w:space="0" w:color="auto"/>
              <w:right w:val="single" w:sz="4" w:space="0" w:color="auto"/>
            </w:tcBorders>
            <w:shd w:val="clear" w:color="auto" w:fill="auto"/>
            <w:noWrap/>
            <w:vAlign w:val="bottom"/>
            <w:hideMark/>
          </w:tcPr>
          <w:p w14:paraId="5A59CDAF"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29.4</w:t>
            </w:r>
          </w:p>
        </w:tc>
        <w:tc>
          <w:tcPr>
            <w:tcW w:w="960" w:type="dxa"/>
            <w:tcBorders>
              <w:top w:val="nil"/>
              <w:left w:val="nil"/>
              <w:bottom w:val="single" w:sz="4" w:space="0" w:color="auto"/>
              <w:right w:val="single" w:sz="4" w:space="0" w:color="auto"/>
            </w:tcBorders>
            <w:shd w:val="clear" w:color="auto" w:fill="auto"/>
            <w:noWrap/>
            <w:vAlign w:val="bottom"/>
            <w:hideMark/>
          </w:tcPr>
          <w:p w14:paraId="42349A80"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27.9</w:t>
            </w:r>
          </w:p>
        </w:tc>
        <w:tc>
          <w:tcPr>
            <w:tcW w:w="960" w:type="dxa"/>
            <w:tcBorders>
              <w:top w:val="nil"/>
              <w:left w:val="nil"/>
              <w:bottom w:val="single" w:sz="4" w:space="0" w:color="auto"/>
              <w:right w:val="single" w:sz="4" w:space="0" w:color="auto"/>
            </w:tcBorders>
            <w:shd w:val="clear" w:color="auto" w:fill="auto"/>
            <w:noWrap/>
            <w:vAlign w:val="bottom"/>
            <w:hideMark/>
          </w:tcPr>
          <w:p w14:paraId="7717F7DD"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26.4</w:t>
            </w:r>
          </w:p>
        </w:tc>
        <w:tc>
          <w:tcPr>
            <w:tcW w:w="960" w:type="dxa"/>
            <w:tcBorders>
              <w:top w:val="nil"/>
              <w:left w:val="nil"/>
              <w:bottom w:val="single" w:sz="4" w:space="0" w:color="auto"/>
              <w:right w:val="single" w:sz="4" w:space="0" w:color="auto"/>
            </w:tcBorders>
            <w:shd w:val="clear" w:color="auto" w:fill="auto"/>
            <w:noWrap/>
            <w:vAlign w:val="bottom"/>
            <w:hideMark/>
          </w:tcPr>
          <w:p w14:paraId="6D8CD18B"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25.1</w:t>
            </w:r>
          </w:p>
        </w:tc>
        <w:tc>
          <w:tcPr>
            <w:tcW w:w="960" w:type="dxa"/>
            <w:tcBorders>
              <w:top w:val="nil"/>
              <w:left w:val="nil"/>
              <w:bottom w:val="single" w:sz="4" w:space="0" w:color="auto"/>
              <w:right w:val="single" w:sz="4" w:space="0" w:color="auto"/>
            </w:tcBorders>
            <w:shd w:val="clear" w:color="auto" w:fill="auto"/>
            <w:noWrap/>
            <w:vAlign w:val="bottom"/>
            <w:hideMark/>
          </w:tcPr>
          <w:p w14:paraId="4E4FAFDD"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23.8</w:t>
            </w:r>
          </w:p>
        </w:tc>
      </w:tr>
      <w:tr w:rsidR="00D6583E" w:rsidRPr="00D6583E" w14:paraId="599DB344" w14:textId="77777777" w:rsidTr="00BB23A5">
        <w:trPr>
          <w:trHeight w:val="300"/>
        </w:trPr>
        <w:tc>
          <w:tcPr>
            <w:tcW w:w="1045" w:type="dxa"/>
            <w:tcBorders>
              <w:top w:val="nil"/>
              <w:left w:val="single" w:sz="4" w:space="0" w:color="auto"/>
              <w:bottom w:val="single" w:sz="4" w:space="0" w:color="auto"/>
              <w:right w:val="single" w:sz="4" w:space="0" w:color="auto"/>
            </w:tcBorders>
            <w:shd w:val="clear" w:color="auto" w:fill="auto"/>
            <w:noWrap/>
            <w:hideMark/>
          </w:tcPr>
          <w:p w14:paraId="328E3750"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2</w:t>
            </w:r>
          </w:p>
        </w:tc>
        <w:tc>
          <w:tcPr>
            <w:tcW w:w="960" w:type="dxa"/>
            <w:tcBorders>
              <w:top w:val="nil"/>
              <w:left w:val="nil"/>
              <w:bottom w:val="single" w:sz="4" w:space="0" w:color="auto"/>
              <w:right w:val="single" w:sz="4" w:space="0" w:color="auto"/>
            </w:tcBorders>
            <w:shd w:val="clear" w:color="auto" w:fill="auto"/>
            <w:noWrap/>
            <w:vAlign w:val="bottom"/>
            <w:hideMark/>
          </w:tcPr>
          <w:p w14:paraId="14ECB5BB" w14:textId="77777777" w:rsidR="00D6583E" w:rsidRPr="00D6583E" w:rsidRDefault="00D6583E" w:rsidP="00D6583E">
            <w:pPr>
              <w:spacing w:after="0" w:line="240" w:lineRule="auto"/>
              <w:jc w:val="center"/>
              <w:rPr>
                <w:rFonts w:ascii="Calibri" w:eastAsia="Times New Roman" w:hAnsi="Calibri" w:cs="Times New Roman"/>
                <w:color w:val="000000"/>
                <w:u w:val="single"/>
                <w:lang w:eastAsia="en-GB"/>
              </w:rPr>
            </w:pPr>
            <w:r w:rsidRPr="00D6583E">
              <w:rPr>
                <w:rFonts w:ascii="Calibri" w:eastAsia="Times New Roman" w:hAnsi="Calibri" w:cs="Times New Roman"/>
                <w:color w:val="000000"/>
                <w:u w:val="single"/>
                <w:lang w:eastAsia="en-GB"/>
              </w:rPr>
              <w:t>39.9</w:t>
            </w:r>
          </w:p>
        </w:tc>
        <w:tc>
          <w:tcPr>
            <w:tcW w:w="960" w:type="dxa"/>
            <w:tcBorders>
              <w:top w:val="nil"/>
              <w:left w:val="nil"/>
              <w:bottom w:val="single" w:sz="4" w:space="0" w:color="auto"/>
              <w:right w:val="single" w:sz="4" w:space="0" w:color="auto"/>
            </w:tcBorders>
            <w:shd w:val="clear" w:color="auto" w:fill="auto"/>
            <w:noWrap/>
            <w:vAlign w:val="bottom"/>
            <w:hideMark/>
          </w:tcPr>
          <w:p w14:paraId="58048D37" w14:textId="77777777" w:rsidR="00D6583E" w:rsidRPr="00D6583E" w:rsidRDefault="00D6583E" w:rsidP="00D6583E">
            <w:pPr>
              <w:spacing w:after="0" w:line="240" w:lineRule="auto"/>
              <w:jc w:val="center"/>
              <w:rPr>
                <w:rFonts w:ascii="Calibri" w:eastAsia="Times New Roman" w:hAnsi="Calibri" w:cs="Times New Roman"/>
                <w:color w:val="000000"/>
                <w:u w:val="single"/>
                <w:lang w:eastAsia="en-GB"/>
              </w:rPr>
            </w:pPr>
            <w:r w:rsidRPr="00D6583E">
              <w:rPr>
                <w:rFonts w:ascii="Calibri" w:eastAsia="Times New Roman" w:hAnsi="Calibri" w:cs="Times New Roman"/>
                <w:color w:val="000000"/>
                <w:u w:val="single"/>
                <w:lang w:eastAsia="en-GB"/>
              </w:rPr>
              <w:t>36.4</w:t>
            </w:r>
          </w:p>
        </w:tc>
        <w:tc>
          <w:tcPr>
            <w:tcW w:w="960" w:type="dxa"/>
            <w:tcBorders>
              <w:top w:val="nil"/>
              <w:left w:val="nil"/>
              <w:bottom w:val="single" w:sz="4" w:space="0" w:color="auto"/>
              <w:right w:val="single" w:sz="4" w:space="0" w:color="auto"/>
            </w:tcBorders>
            <w:shd w:val="clear" w:color="auto" w:fill="auto"/>
            <w:noWrap/>
            <w:vAlign w:val="bottom"/>
            <w:hideMark/>
          </w:tcPr>
          <w:p w14:paraId="41AA5F5B"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33.8</w:t>
            </w:r>
          </w:p>
        </w:tc>
        <w:tc>
          <w:tcPr>
            <w:tcW w:w="960" w:type="dxa"/>
            <w:tcBorders>
              <w:top w:val="nil"/>
              <w:left w:val="nil"/>
              <w:bottom w:val="single" w:sz="4" w:space="0" w:color="auto"/>
              <w:right w:val="single" w:sz="4" w:space="0" w:color="auto"/>
            </w:tcBorders>
            <w:shd w:val="clear" w:color="auto" w:fill="auto"/>
            <w:noWrap/>
            <w:vAlign w:val="bottom"/>
            <w:hideMark/>
          </w:tcPr>
          <w:p w14:paraId="401900DF"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31.9</w:t>
            </w:r>
          </w:p>
        </w:tc>
        <w:tc>
          <w:tcPr>
            <w:tcW w:w="960" w:type="dxa"/>
            <w:tcBorders>
              <w:top w:val="nil"/>
              <w:left w:val="nil"/>
              <w:bottom w:val="single" w:sz="4" w:space="0" w:color="auto"/>
              <w:right w:val="single" w:sz="4" w:space="0" w:color="auto"/>
            </w:tcBorders>
            <w:shd w:val="clear" w:color="auto" w:fill="auto"/>
            <w:noWrap/>
            <w:vAlign w:val="bottom"/>
            <w:hideMark/>
          </w:tcPr>
          <w:p w14:paraId="1A434A8C"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30.1</w:t>
            </w:r>
          </w:p>
        </w:tc>
        <w:tc>
          <w:tcPr>
            <w:tcW w:w="960" w:type="dxa"/>
            <w:tcBorders>
              <w:top w:val="nil"/>
              <w:left w:val="nil"/>
              <w:bottom w:val="single" w:sz="4" w:space="0" w:color="auto"/>
              <w:right w:val="single" w:sz="4" w:space="0" w:color="auto"/>
            </w:tcBorders>
            <w:shd w:val="clear" w:color="auto" w:fill="auto"/>
            <w:noWrap/>
            <w:vAlign w:val="bottom"/>
            <w:hideMark/>
          </w:tcPr>
          <w:p w14:paraId="228FA70A"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28.5</w:t>
            </w:r>
          </w:p>
        </w:tc>
        <w:tc>
          <w:tcPr>
            <w:tcW w:w="960" w:type="dxa"/>
            <w:tcBorders>
              <w:top w:val="nil"/>
              <w:left w:val="nil"/>
              <w:bottom w:val="single" w:sz="4" w:space="0" w:color="auto"/>
              <w:right w:val="single" w:sz="4" w:space="0" w:color="auto"/>
            </w:tcBorders>
            <w:shd w:val="clear" w:color="auto" w:fill="auto"/>
            <w:noWrap/>
            <w:vAlign w:val="bottom"/>
            <w:hideMark/>
          </w:tcPr>
          <w:p w14:paraId="7C07FDBA"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27.0</w:t>
            </w:r>
          </w:p>
        </w:tc>
      </w:tr>
      <w:tr w:rsidR="00D6583E" w:rsidRPr="00D6583E" w14:paraId="36F6B0EA" w14:textId="77777777" w:rsidTr="00BB23A5">
        <w:trPr>
          <w:trHeight w:val="300"/>
        </w:trPr>
        <w:tc>
          <w:tcPr>
            <w:tcW w:w="1045" w:type="dxa"/>
            <w:tcBorders>
              <w:top w:val="nil"/>
              <w:left w:val="single" w:sz="4" w:space="0" w:color="auto"/>
              <w:bottom w:val="single" w:sz="4" w:space="0" w:color="auto"/>
              <w:right w:val="single" w:sz="4" w:space="0" w:color="auto"/>
            </w:tcBorders>
            <w:shd w:val="clear" w:color="auto" w:fill="auto"/>
            <w:noWrap/>
            <w:hideMark/>
          </w:tcPr>
          <w:p w14:paraId="11F32AB9"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 xml:space="preserve">(3,4,5) </w:t>
            </w:r>
          </w:p>
        </w:tc>
        <w:tc>
          <w:tcPr>
            <w:tcW w:w="960" w:type="dxa"/>
            <w:tcBorders>
              <w:top w:val="nil"/>
              <w:left w:val="nil"/>
              <w:bottom w:val="single" w:sz="4" w:space="0" w:color="auto"/>
              <w:right w:val="single" w:sz="4" w:space="0" w:color="auto"/>
            </w:tcBorders>
            <w:shd w:val="clear" w:color="auto" w:fill="auto"/>
            <w:noWrap/>
            <w:vAlign w:val="bottom"/>
            <w:hideMark/>
          </w:tcPr>
          <w:p w14:paraId="38BAA7B7"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31.8</w:t>
            </w:r>
          </w:p>
        </w:tc>
        <w:tc>
          <w:tcPr>
            <w:tcW w:w="960" w:type="dxa"/>
            <w:tcBorders>
              <w:top w:val="nil"/>
              <w:left w:val="nil"/>
              <w:bottom w:val="single" w:sz="4" w:space="0" w:color="auto"/>
              <w:right w:val="single" w:sz="4" w:space="0" w:color="auto"/>
            </w:tcBorders>
            <w:shd w:val="clear" w:color="auto" w:fill="auto"/>
            <w:noWrap/>
            <w:vAlign w:val="bottom"/>
            <w:hideMark/>
          </w:tcPr>
          <w:p w14:paraId="6BC0ED45"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29.1</w:t>
            </w:r>
          </w:p>
        </w:tc>
        <w:tc>
          <w:tcPr>
            <w:tcW w:w="960" w:type="dxa"/>
            <w:tcBorders>
              <w:top w:val="nil"/>
              <w:left w:val="nil"/>
              <w:bottom w:val="single" w:sz="4" w:space="0" w:color="auto"/>
              <w:right w:val="single" w:sz="4" w:space="0" w:color="auto"/>
            </w:tcBorders>
            <w:shd w:val="clear" w:color="auto" w:fill="auto"/>
            <w:noWrap/>
            <w:vAlign w:val="bottom"/>
            <w:hideMark/>
          </w:tcPr>
          <w:p w14:paraId="635B6F71"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27.2</w:t>
            </w:r>
          </w:p>
        </w:tc>
        <w:tc>
          <w:tcPr>
            <w:tcW w:w="960" w:type="dxa"/>
            <w:tcBorders>
              <w:top w:val="nil"/>
              <w:left w:val="nil"/>
              <w:bottom w:val="single" w:sz="4" w:space="0" w:color="auto"/>
              <w:right w:val="single" w:sz="4" w:space="0" w:color="auto"/>
            </w:tcBorders>
            <w:shd w:val="clear" w:color="auto" w:fill="auto"/>
            <w:noWrap/>
            <w:vAlign w:val="bottom"/>
            <w:hideMark/>
          </w:tcPr>
          <w:p w14:paraId="45CF3A29"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25.8</w:t>
            </w:r>
          </w:p>
        </w:tc>
        <w:tc>
          <w:tcPr>
            <w:tcW w:w="960" w:type="dxa"/>
            <w:tcBorders>
              <w:top w:val="nil"/>
              <w:left w:val="nil"/>
              <w:bottom w:val="single" w:sz="4" w:space="0" w:color="auto"/>
              <w:right w:val="single" w:sz="4" w:space="0" w:color="auto"/>
            </w:tcBorders>
            <w:shd w:val="clear" w:color="auto" w:fill="auto"/>
            <w:noWrap/>
            <w:vAlign w:val="bottom"/>
            <w:hideMark/>
          </w:tcPr>
          <w:p w14:paraId="39F71741"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24.5</w:t>
            </w:r>
          </w:p>
        </w:tc>
        <w:tc>
          <w:tcPr>
            <w:tcW w:w="960" w:type="dxa"/>
            <w:tcBorders>
              <w:top w:val="nil"/>
              <w:left w:val="nil"/>
              <w:bottom w:val="single" w:sz="4" w:space="0" w:color="auto"/>
              <w:right w:val="single" w:sz="4" w:space="0" w:color="auto"/>
            </w:tcBorders>
            <w:shd w:val="clear" w:color="auto" w:fill="auto"/>
            <w:noWrap/>
            <w:vAlign w:val="bottom"/>
            <w:hideMark/>
          </w:tcPr>
          <w:p w14:paraId="5743E2B7"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23.3</w:t>
            </w:r>
          </w:p>
        </w:tc>
        <w:tc>
          <w:tcPr>
            <w:tcW w:w="960" w:type="dxa"/>
            <w:tcBorders>
              <w:top w:val="nil"/>
              <w:left w:val="nil"/>
              <w:bottom w:val="single" w:sz="4" w:space="0" w:color="auto"/>
              <w:right w:val="single" w:sz="4" w:space="0" w:color="auto"/>
            </w:tcBorders>
            <w:shd w:val="clear" w:color="auto" w:fill="auto"/>
            <w:noWrap/>
            <w:vAlign w:val="bottom"/>
            <w:hideMark/>
          </w:tcPr>
          <w:p w14:paraId="625D78F8"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22.1</w:t>
            </w:r>
          </w:p>
        </w:tc>
      </w:tr>
      <w:tr w:rsidR="00D6583E" w:rsidRPr="00D6583E" w14:paraId="070B057E" w14:textId="77777777" w:rsidTr="00BB23A5">
        <w:trPr>
          <w:trHeight w:val="300"/>
        </w:trPr>
        <w:tc>
          <w:tcPr>
            <w:tcW w:w="1045" w:type="dxa"/>
            <w:tcBorders>
              <w:top w:val="nil"/>
              <w:left w:val="single" w:sz="4" w:space="0" w:color="auto"/>
              <w:bottom w:val="single" w:sz="4" w:space="0" w:color="auto"/>
              <w:right w:val="single" w:sz="4" w:space="0" w:color="auto"/>
            </w:tcBorders>
            <w:shd w:val="clear" w:color="auto" w:fill="auto"/>
            <w:noWrap/>
            <w:hideMark/>
          </w:tcPr>
          <w:p w14:paraId="30EDCD49"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6</w:t>
            </w:r>
          </w:p>
        </w:tc>
        <w:tc>
          <w:tcPr>
            <w:tcW w:w="960" w:type="dxa"/>
            <w:tcBorders>
              <w:top w:val="nil"/>
              <w:left w:val="nil"/>
              <w:bottom w:val="single" w:sz="4" w:space="0" w:color="auto"/>
              <w:right w:val="single" w:sz="4" w:space="0" w:color="auto"/>
            </w:tcBorders>
            <w:shd w:val="clear" w:color="auto" w:fill="auto"/>
            <w:noWrap/>
            <w:vAlign w:val="bottom"/>
            <w:hideMark/>
          </w:tcPr>
          <w:p w14:paraId="2DE93FEA"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34.6</w:t>
            </w:r>
          </w:p>
        </w:tc>
        <w:tc>
          <w:tcPr>
            <w:tcW w:w="960" w:type="dxa"/>
            <w:tcBorders>
              <w:top w:val="nil"/>
              <w:left w:val="nil"/>
              <w:bottom w:val="single" w:sz="4" w:space="0" w:color="auto"/>
              <w:right w:val="single" w:sz="4" w:space="0" w:color="auto"/>
            </w:tcBorders>
            <w:shd w:val="clear" w:color="auto" w:fill="auto"/>
            <w:noWrap/>
            <w:vAlign w:val="bottom"/>
            <w:hideMark/>
          </w:tcPr>
          <w:p w14:paraId="6845B80A"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31.5</w:t>
            </w:r>
          </w:p>
        </w:tc>
        <w:tc>
          <w:tcPr>
            <w:tcW w:w="960" w:type="dxa"/>
            <w:tcBorders>
              <w:top w:val="nil"/>
              <w:left w:val="nil"/>
              <w:bottom w:val="single" w:sz="4" w:space="0" w:color="auto"/>
              <w:right w:val="single" w:sz="4" w:space="0" w:color="auto"/>
            </w:tcBorders>
            <w:shd w:val="clear" w:color="auto" w:fill="auto"/>
            <w:noWrap/>
            <w:vAlign w:val="bottom"/>
            <w:hideMark/>
          </w:tcPr>
          <w:p w14:paraId="55B25523"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29.5</w:t>
            </w:r>
          </w:p>
        </w:tc>
        <w:tc>
          <w:tcPr>
            <w:tcW w:w="960" w:type="dxa"/>
            <w:tcBorders>
              <w:top w:val="nil"/>
              <w:left w:val="nil"/>
              <w:bottom w:val="single" w:sz="4" w:space="0" w:color="auto"/>
              <w:right w:val="single" w:sz="4" w:space="0" w:color="auto"/>
            </w:tcBorders>
            <w:shd w:val="clear" w:color="auto" w:fill="auto"/>
            <w:noWrap/>
            <w:vAlign w:val="bottom"/>
            <w:hideMark/>
          </w:tcPr>
          <w:p w14:paraId="35790312"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27.9</w:t>
            </w:r>
          </w:p>
        </w:tc>
        <w:tc>
          <w:tcPr>
            <w:tcW w:w="960" w:type="dxa"/>
            <w:tcBorders>
              <w:top w:val="nil"/>
              <w:left w:val="nil"/>
              <w:bottom w:val="single" w:sz="4" w:space="0" w:color="auto"/>
              <w:right w:val="single" w:sz="4" w:space="0" w:color="auto"/>
            </w:tcBorders>
            <w:shd w:val="clear" w:color="auto" w:fill="auto"/>
            <w:noWrap/>
            <w:vAlign w:val="bottom"/>
            <w:hideMark/>
          </w:tcPr>
          <w:p w14:paraId="7E779DD4"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26.4</w:t>
            </w:r>
          </w:p>
        </w:tc>
        <w:tc>
          <w:tcPr>
            <w:tcW w:w="960" w:type="dxa"/>
            <w:tcBorders>
              <w:top w:val="nil"/>
              <w:left w:val="nil"/>
              <w:bottom w:val="single" w:sz="4" w:space="0" w:color="auto"/>
              <w:right w:val="single" w:sz="4" w:space="0" w:color="auto"/>
            </w:tcBorders>
            <w:shd w:val="clear" w:color="auto" w:fill="auto"/>
            <w:noWrap/>
            <w:vAlign w:val="bottom"/>
            <w:hideMark/>
          </w:tcPr>
          <w:p w14:paraId="4DEEDB7B"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25.1</w:t>
            </w:r>
          </w:p>
        </w:tc>
        <w:tc>
          <w:tcPr>
            <w:tcW w:w="960" w:type="dxa"/>
            <w:tcBorders>
              <w:top w:val="nil"/>
              <w:left w:val="nil"/>
              <w:bottom w:val="single" w:sz="4" w:space="0" w:color="auto"/>
              <w:right w:val="single" w:sz="4" w:space="0" w:color="auto"/>
            </w:tcBorders>
            <w:shd w:val="clear" w:color="auto" w:fill="auto"/>
            <w:noWrap/>
            <w:vAlign w:val="bottom"/>
            <w:hideMark/>
          </w:tcPr>
          <w:p w14:paraId="5F66D520"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23.8</w:t>
            </w:r>
          </w:p>
        </w:tc>
      </w:tr>
      <w:tr w:rsidR="00D6583E" w:rsidRPr="00D6583E" w14:paraId="778AC299" w14:textId="77777777" w:rsidTr="00BB23A5">
        <w:trPr>
          <w:trHeight w:val="300"/>
        </w:trPr>
        <w:tc>
          <w:tcPr>
            <w:tcW w:w="1045" w:type="dxa"/>
            <w:tcBorders>
              <w:top w:val="nil"/>
              <w:left w:val="single" w:sz="4" w:space="0" w:color="auto"/>
              <w:bottom w:val="single" w:sz="4" w:space="0" w:color="auto"/>
              <w:right w:val="single" w:sz="4" w:space="0" w:color="auto"/>
            </w:tcBorders>
            <w:shd w:val="clear" w:color="auto" w:fill="auto"/>
            <w:noWrap/>
            <w:hideMark/>
          </w:tcPr>
          <w:p w14:paraId="4CDE7695"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8</w:t>
            </w:r>
          </w:p>
        </w:tc>
        <w:tc>
          <w:tcPr>
            <w:tcW w:w="960" w:type="dxa"/>
            <w:tcBorders>
              <w:top w:val="nil"/>
              <w:left w:val="nil"/>
              <w:bottom w:val="single" w:sz="4" w:space="0" w:color="auto"/>
              <w:right w:val="single" w:sz="4" w:space="0" w:color="auto"/>
            </w:tcBorders>
            <w:shd w:val="clear" w:color="auto" w:fill="auto"/>
            <w:noWrap/>
            <w:vAlign w:val="bottom"/>
            <w:hideMark/>
          </w:tcPr>
          <w:p w14:paraId="0D781ABB"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32.3</w:t>
            </w:r>
          </w:p>
        </w:tc>
        <w:tc>
          <w:tcPr>
            <w:tcW w:w="960" w:type="dxa"/>
            <w:tcBorders>
              <w:top w:val="nil"/>
              <w:left w:val="nil"/>
              <w:bottom w:val="single" w:sz="4" w:space="0" w:color="auto"/>
              <w:right w:val="single" w:sz="4" w:space="0" w:color="auto"/>
            </w:tcBorders>
            <w:shd w:val="clear" w:color="auto" w:fill="auto"/>
            <w:noWrap/>
            <w:vAlign w:val="bottom"/>
            <w:hideMark/>
          </w:tcPr>
          <w:p w14:paraId="53A6414A"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30.4</w:t>
            </w:r>
          </w:p>
        </w:tc>
        <w:tc>
          <w:tcPr>
            <w:tcW w:w="960" w:type="dxa"/>
            <w:tcBorders>
              <w:top w:val="nil"/>
              <w:left w:val="nil"/>
              <w:bottom w:val="single" w:sz="4" w:space="0" w:color="auto"/>
              <w:right w:val="single" w:sz="4" w:space="0" w:color="auto"/>
            </w:tcBorders>
            <w:shd w:val="clear" w:color="auto" w:fill="auto"/>
            <w:noWrap/>
            <w:vAlign w:val="bottom"/>
            <w:hideMark/>
          </w:tcPr>
          <w:p w14:paraId="2C23870E"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29.0</w:t>
            </w:r>
          </w:p>
        </w:tc>
        <w:tc>
          <w:tcPr>
            <w:tcW w:w="960" w:type="dxa"/>
            <w:tcBorders>
              <w:top w:val="nil"/>
              <w:left w:val="nil"/>
              <w:bottom w:val="single" w:sz="4" w:space="0" w:color="auto"/>
              <w:right w:val="single" w:sz="4" w:space="0" w:color="auto"/>
            </w:tcBorders>
            <w:shd w:val="clear" w:color="auto" w:fill="auto"/>
            <w:noWrap/>
            <w:vAlign w:val="bottom"/>
            <w:hideMark/>
          </w:tcPr>
          <w:p w14:paraId="6A00EF63"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27.9</w:t>
            </w:r>
          </w:p>
        </w:tc>
        <w:tc>
          <w:tcPr>
            <w:tcW w:w="960" w:type="dxa"/>
            <w:tcBorders>
              <w:top w:val="nil"/>
              <w:left w:val="nil"/>
              <w:bottom w:val="single" w:sz="4" w:space="0" w:color="auto"/>
              <w:right w:val="single" w:sz="4" w:space="0" w:color="auto"/>
            </w:tcBorders>
            <w:shd w:val="clear" w:color="auto" w:fill="auto"/>
            <w:noWrap/>
            <w:vAlign w:val="bottom"/>
            <w:hideMark/>
          </w:tcPr>
          <w:p w14:paraId="40EC97DC"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26.8</w:t>
            </w:r>
          </w:p>
        </w:tc>
        <w:tc>
          <w:tcPr>
            <w:tcW w:w="960" w:type="dxa"/>
            <w:tcBorders>
              <w:top w:val="nil"/>
              <w:left w:val="nil"/>
              <w:bottom w:val="single" w:sz="4" w:space="0" w:color="auto"/>
              <w:right w:val="single" w:sz="4" w:space="0" w:color="auto"/>
            </w:tcBorders>
            <w:shd w:val="clear" w:color="auto" w:fill="auto"/>
            <w:noWrap/>
            <w:vAlign w:val="bottom"/>
            <w:hideMark/>
          </w:tcPr>
          <w:p w14:paraId="4F8AA62B"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25.8</w:t>
            </w:r>
          </w:p>
        </w:tc>
        <w:tc>
          <w:tcPr>
            <w:tcW w:w="960" w:type="dxa"/>
            <w:tcBorders>
              <w:top w:val="nil"/>
              <w:left w:val="nil"/>
              <w:bottom w:val="single" w:sz="4" w:space="0" w:color="auto"/>
              <w:right w:val="single" w:sz="4" w:space="0" w:color="auto"/>
            </w:tcBorders>
            <w:shd w:val="clear" w:color="auto" w:fill="auto"/>
            <w:noWrap/>
            <w:vAlign w:val="bottom"/>
            <w:hideMark/>
          </w:tcPr>
          <w:p w14:paraId="151591E5"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24.5</w:t>
            </w:r>
          </w:p>
        </w:tc>
      </w:tr>
      <w:tr w:rsidR="00D6583E" w:rsidRPr="00D6583E" w14:paraId="723E8AA7" w14:textId="77777777" w:rsidTr="00BB23A5">
        <w:trPr>
          <w:trHeight w:val="300"/>
        </w:trPr>
        <w:tc>
          <w:tcPr>
            <w:tcW w:w="1045" w:type="dxa"/>
            <w:tcBorders>
              <w:top w:val="nil"/>
              <w:left w:val="single" w:sz="4" w:space="0" w:color="auto"/>
              <w:bottom w:val="single" w:sz="4" w:space="0" w:color="auto"/>
              <w:right w:val="single" w:sz="4" w:space="0" w:color="auto"/>
            </w:tcBorders>
            <w:shd w:val="clear" w:color="auto" w:fill="auto"/>
            <w:noWrap/>
            <w:hideMark/>
          </w:tcPr>
          <w:p w14:paraId="21586191"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9</w:t>
            </w:r>
          </w:p>
        </w:tc>
        <w:tc>
          <w:tcPr>
            <w:tcW w:w="960" w:type="dxa"/>
            <w:tcBorders>
              <w:top w:val="nil"/>
              <w:left w:val="nil"/>
              <w:bottom w:val="single" w:sz="4" w:space="0" w:color="auto"/>
              <w:right w:val="single" w:sz="4" w:space="0" w:color="auto"/>
            </w:tcBorders>
            <w:shd w:val="clear" w:color="auto" w:fill="auto"/>
            <w:noWrap/>
            <w:vAlign w:val="bottom"/>
            <w:hideMark/>
          </w:tcPr>
          <w:p w14:paraId="56A3C66D"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41.5</w:t>
            </w:r>
          </w:p>
        </w:tc>
        <w:tc>
          <w:tcPr>
            <w:tcW w:w="960" w:type="dxa"/>
            <w:tcBorders>
              <w:top w:val="nil"/>
              <w:left w:val="nil"/>
              <w:bottom w:val="single" w:sz="4" w:space="0" w:color="auto"/>
              <w:right w:val="single" w:sz="4" w:space="0" w:color="auto"/>
            </w:tcBorders>
            <w:shd w:val="clear" w:color="auto" w:fill="auto"/>
            <w:noWrap/>
            <w:vAlign w:val="bottom"/>
            <w:hideMark/>
          </w:tcPr>
          <w:p w14:paraId="640019C3" w14:textId="77777777" w:rsidR="00D6583E" w:rsidRPr="00D6583E" w:rsidRDefault="00D6583E" w:rsidP="00D6583E">
            <w:pPr>
              <w:spacing w:after="0" w:line="240" w:lineRule="auto"/>
              <w:jc w:val="center"/>
              <w:rPr>
                <w:rFonts w:ascii="Calibri" w:eastAsia="Times New Roman" w:hAnsi="Calibri" w:cs="Times New Roman"/>
                <w:color w:val="000000"/>
                <w:u w:val="single"/>
                <w:lang w:eastAsia="en-GB"/>
              </w:rPr>
            </w:pPr>
            <w:r w:rsidRPr="00D6583E">
              <w:rPr>
                <w:rFonts w:ascii="Calibri" w:eastAsia="Times New Roman" w:hAnsi="Calibri" w:cs="Times New Roman"/>
                <w:color w:val="000000"/>
                <w:u w:val="single"/>
                <w:lang w:eastAsia="en-GB"/>
              </w:rPr>
              <w:t>39.0</w:t>
            </w:r>
          </w:p>
        </w:tc>
        <w:tc>
          <w:tcPr>
            <w:tcW w:w="960" w:type="dxa"/>
            <w:tcBorders>
              <w:top w:val="nil"/>
              <w:left w:val="nil"/>
              <w:bottom w:val="single" w:sz="4" w:space="0" w:color="auto"/>
              <w:right w:val="single" w:sz="4" w:space="0" w:color="auto"/>
            </w:tcBorders>
            <w:shd w:val="clear" w:color="auto" w:fill="auto"/>
            <w:noWrap/>
            <w:vAlign w:val="bottom"/>
            <w:hideMark/>
          </w:tcPr>
          <w:p w14:paraId="72E949B2" w14:textId="77777777" w:rsidR="00D6583E" w:rsidRPr="00D6583E" w:rsidRDefault="00D6583E" w:rsidP="00D6583E">
            <w:pPr>
              <w:spacing w:after="0" w:line="240" w:lineRule="auto"/>
              <w:jc w:val="center"/>
              <w:rPr>
                <w:rFonts w:ascii="Calibri" w:eastAsia="Times New Roman" w:hAnsi="Calibri" w:cs="Times New Roman"/>
                <w:color w:val="000000"/>
                <w:u w:val="single"/>
                <w:lang w:eastAsia="en-GB"/>
              </w:rPr>
            </w:pPr>
            <w:r w:rsidRPr="00D6583E">
              <w:rPr>
                <w:rFonts w:ascii="Calibri" w:eastAsia="Times New Roman" w:hAnsi="Calibri" w:cs="Times New Roman"/>
                <w:color w:val="000000"/>
                <w:u w:val="single"/>
                <w:lang w:eastAsia="en-GB"/>
              </w:rPr>
              <w:t>37.2</w:t>
            </w:r>
          </w:p>
        </w:tc>
        <w:tc>
          <w:tcPr>
            <w:tcW w:w="960" w:type="dxa"/>
            <w:tcBorders>
              <w:top w:val="nil"/>
              <w:left w:val="nil"/>
              <w:bottom w:val="single" w:sz="4" w:space="0" w:color="auto"/>
              <w:right w:val="single" w:sz="4" w:space="0" w:color="auto"/>
            </w:tcBorders>
            <w:shd w:val="clear" w:color="auto" w:fill="auto"/>
            <w:noWrap/>
            <w:vAlign w:val="bottom"/>
            <w:hideMark/>
          </w:tcPr>
          <w:p w14:paraId="7ABD152A"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35.8</w:t>
            </w:r>
          </w:p>
        </w:tc>
        <w:tc>
          <w:tcPr>
            <w:tcW w:w="960" w:type="dxa"/>
            <w:tcBorders>
              <w:top w:val="nil"/>
              <w:left w:val="nil"/>
              <w:bottom w:val="single" w:sz="4" w:space="0" w:color="auto"/>
              <w:right w:val="single" w:sz="4" w:space="0" w:color="auto"/>
            </w:tcBorders>
            <w:shd w:val="clear" w:color="auto" w:fill="auto"/>
            <w:noWrap/>
            <w:vAlign w:val="bottom"/>
            <w:hideMark/>
          </w:tcPr>
          <w:p w14:paraId="42E1F4DA"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34.4</w:t>
            </w:r>
          </w:p>
        </w:tc>
        <w:tc>
          <w:tcPr>
            <w:tcW w:w="960" w:type="dxa"/>
            <w:tcBorders>
              <w:top w:val="nil"/>
              <w:left w:val="nil"/>
              <w:bottom w:val="single" w:sz="4" w:space="0" w:color="auto"/>
              <w:right w:val="single" w:sz="4" w:space="0" w:color="auto"/>
            </w:tcBorders>
            <w:shd w:val="clear" w:color="auto" w:fill="auto"/>
            <w:noWrap/>
            <w:vAlign w:val="bottom"/>
            <w:hideMark/>
          </w:tcPr>
          <w:p w14:paraId="717B2E20"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33.1</w:t>
            </w:r>
          </w:p>
        </w:tc>
        <w:tc>
          <w:tcPr>
            <w:tcW w:w="960" w:type="dxa"/>
            <w:tcBorders>
              <w:top w:val="nil"/>
              <w:left w:val="nil"/>
              <w:bottom w:val="single" w:sz="4" w:space="0" w:color="auto"/>
              <w:right w:val="single" w:sz="4" w:space="0" w:color="auto"/>
            </w:tcBorders>
            <w:shd w:val="clear" w:color="auto" w:fill="auto"/>
            <w:noWrap/>
            <w:vAlign w:val="bottom"/>
            <w:hideMark/>
          </w:tcPr>
          <w:p w14:paraId="1DA58726"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31.3</w:t>
            </w:r>
          </w:p>
        </w:tc>
      </w:tr>
      <w:tr w:rsidR="00D6583E" w:rsidRPr="00D6583E" w14:paraId="16214F0F" w14:textId="77777777" w:rsidTr="00BB23A5">
        <w:trPr>
          <w:trHeight w:val="300"/>
        </w:trPr>
        <w:tc>
          <w:tcPr>
            <w:tcW w:w="1045" w:type="dxa"/>
            <w:tcBorders>
              <w:top w:val="nil"/>
              <w:left w:val="single" w:sz="4" w:space="0" w:color="auto"/>
              <w:bottom w:val="single" w:sz="4" w:space="0" w:color="auto"/>
              <w:right w:val="single" w:sz="4" w:space="0" w:color="auto"/>
            </w:tcBorders>
            <w:shd w:val="clear" w:color="auto" w:fill="auto"/>
            <w:noWrap/>
            <w:hideMark/>
          </w:tcPr>
          <w:p w14:paraId="645A1E4E"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10</w:t>
            </w:r>
          </w:p>
        </w:tc>
        <w:tc>
          <w:tcPr>
            <w:tcW w:w="960" w:type="dxa"/>
            <w:tcBorders>
              <w:top w:val="nil"/>
              <w:left w:val="nil"/>
              <w:bottom w:val="single" w:sz="4" w:space="0" w:color="auto"/>
              <w:right w:val="single" w:sz="4" w:space="0" w:color="auto"/>
            </w:tcBorders>
            <w:shd w:val="clear" w:color="auto" w:fill="auto"/>
            <w:noWrap/>
            <w:vAlign w:val="bottom"/>
            <w:hideMark/>
          </w:tcPr>
          <w:p w14:paraId="70497711"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50.2</w:t>
            </w:r>
          </w:p>
        </w:tc>
        <w:tc>
          <w:tcPr>
            <w:tcW w:w="960" w:type="dxa"/>
            <w:tcBorders>
              <w:top w:val="nil"/>
              <w:left w:val="nil"/>
              <w:bottom w:val="single" w:sz="4" w:space="0" w:color="auto"/>
              <w:right w:val="single" w:sz="4" w:space="0" w:color="auto"/>
            </w:tcBorders>
            <w:shd w:val="clear" w:color="auto" w:fill="auto"/>
            <w:noWrap/>
            <w:vAlign w:val="bottom"/>
            <w:hideMark/>
          </w:tcPr>
          <w:p w14:paraId="4D69B41F"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47.0</w:t>
            </w:r>
          </w:p>
        </w:tc>
        <w:tc>
          <w:tcPr>
            <w:tcW w:w="960" w:type="dxa"/>
            <w:tcBorders>
              <w:top w:val="nil"/>
              <w:left w:val="nil"/>
              <w:bottom w:val="single" w:sz="4" w:space="0" w:color="auto"/>
              <w:right w:val="single" w:sz="4" w:space="0" w:color="auto"/>
            </w:tcBorders>
            <w:shd w:val="clear" w:color="auto" w:fill="auto"/>
            <w:noWrap/>
            <w:vAlign w:val="bottom"/>
            <w:hideMark/>
          </w:tcPr>
          <w:p w14:paraId="6B2FE74B"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44.7</w:t>
            </w:r>
          </w:p>
        </w:tc>
        <w:tc>
          <w:tcPr>
            <w:tcW w:w="960" w:type="dxa"/>
            <w:tcBorders>
              <w:top w:val="nil"/>
              <w:left w:val="nil"/>
              <w:bottom w:val="single" w:sz="4" w:space="0" w:color="auto"/>
              <w:right w:val="single" w:sz="4" w:space="0" w:color="auto"/>
            </w:tcBorders>
            <w:shd w:val="clear" w:color="auto" w:fill="auto"/>
            <w:noWrap/>
            <w:vAlign w:val="bottom"/>
            <w:hideMark/>
          </w:tcPr>
          <w:p w14:paraId="27C926E0"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42.6</w:t>
            </w:r>
          </w:p>
        </w:tc>
        <w:tc>
          <w:tcPr>
            <w:tcW w:w="960" w:type="dxa"/>
            <w:tcBorders>
              <w:top w:val="nil"/>
              <w:left w:val="nil"/>
              <w:bottom w:val="single" w:sz="4" w:space="0" w:color="auto"/>
              <w:right w:val="single" w:sz="4" w:space="0" w:color="auto"/>
            </w:tcBorders>
            <w:shd w:val="clear" w:color="auto" w:fill="auto"/>
            <w:noWrap/>
            <w:vAlign w:val="bottom"/>
            <w:hideMark/>
          </w:tcPr>
          <w:p w14:paraId="6AE53850"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40.7</w:t>
            </w:r>
          </w:p>
        </w:tc>
        <w:tc>
          <w:tcPr>
            <w:tcW w:w="960" w:type="dxa"/>
            <w:tcBorders>
              <w:top w:val="nil"/>
              <w:left w:val="nil"/>
              <w:bottom w:val="single" w:sz="4" w:space="0" w:color="auto"/>
              <w:right w:val="single" w:sz="4" w:space="0" w:color="auto"/>
            </w:tcBorders>
            <w:shd w:val="clear" w:color="auto" w:fill="auto"/>
            <w:noWrap/>
            <w:vAlign w:val="bottom"/>
            <w:hideMark/>
          </w:tcPr>
          <w:p w14:paraId="76AE4634" w14:textId="77777777" w:rsidR="00D6583E" w:rsidRPr="00D6583E" w:rsidRDefault="00D6583E" w:rsidP="00D6583E">
            <w:pPr>
              <w:spacing w:after="0" w:line="240" w:lineRule="auto"/>
              <w:jc w:val="center"/>
              <w:rPr>
                <w:rFonts w:ascii="Calibri" w:eastAsia="Times New Roman" w:hAnsi="Calibri" w:cs="Times New Roman"/>
                <w:color w:val="000000"/>
                <w:u w:val="single"/>
                <w:lang w:eastAsia="en-GB"/>
              </w:rPr>
            </w:pPr>
            <w:r w:rsidRPr="00D6583E">
              <w:rPr>
                <w:rFonts w:ascii="Calibri" w:eastAsia="Times New Roman" w:hAnsi="Calibri" w:cs="Times New Roman"/>
                <w:color w:val="000000"/>
                <w:u w:val="single"/>
                <w:lang w:eastAsia="en-GB"/>
              </w:rPr>
              <w:t>38.8</w:t>
            </w:r>
          </w:p>
        </w:tc>
        <w:tc>
          <w:tcPr>
            <w:tcW w:w="960" w:type="dxa"/>
            <w:tcBorders>
              <w:top w:val="nil"/>
              <w:left w:val="nil"/>
              <w:bottom w:val="single" w:sz="4" w:space="0" w:color="auto"/>
              <w:right w:val="single" w:sz="4" w:space="0" w:color="auto"/>
            </w:tcBorders>
            <w:shd w:val="clear" w:color="auto" w:fill="auto"/>
            <w:noWrap/>
            <w:vAlign w:val="bottom"/>
            <w:hideMark/>
          </w:tcPr>
          <w:p w14:paraId="16C81D86" w14:textId="77777777" w:rsidR="00D6583E" w:rsidRPr="00D6583E" w:rsidRDefault="00D6583E" w:rsidP="00D6583E">
            <w:pPr>
              <w:spacing w:after="0" w:line="240" w:lineRule="auto"/>
              <w:jc w:val="center"/>
              <w:rPr>
                <w:rFonts w:ascii="Calibri" w:eastAsia="Times New Roman" w:hAnsi="Calibri" w:cs="Times New Roman"/>
                <w:color w:val="000000"/>
                <w:u w:val="single"/>
                <w:lang w:eastAsia="en-GB"/>
              </w:rPr>
            </w:pPr>
            <w:r w:rsidRPr="00D6583E">
              <w:rPr>
                <w:rFonts w:ascii="Calibri" w:eastAsia="Times New Roman" w:hAnsi="Calibri" w:cs="Times New Roman"/>
                <w:color w:val="000000"/>
                <w:u w:val="single"/>
                <w:lang w:eastAsia="en-GB"/>
              </w:rPr>
              <w:t>36.6</w:t>
            </w:r>
          </w:p>
        </w:tc>
      </w:tr>
      <w:tr w:rsidR="00D6583E" w:rsidRPr="00D6583E" w14:paraId="1B4057E6" w14:textId="77777777" w:rsidTr="00BB23A5">
        <w:trPr>
          <w:trHeight w:val="300"/>
        </w:trPr>
        <w:tc>
          <w:tcPr>
            <w:tcW w:w="1045" w:type="dxa"/>
            <w:tcBorders>
              <w:top w:val="nil"/>
              <w:left w:val="single" w:sz="4" w:space="0" w:color="auto"/>
              <w:bottom w:val="single" w:sz="4" w:space="0" w:color="auto"/>
              <w:right w:val="single" w:sz="4" w:space="0" w:color="auto"/>
            </w:tcBorders>
            <w:shd w:val="clear" w:color="auto" w:fill="auto"/>
            <w:noWrap/>
            <w:hideMark/>
          </w:tcPr>
          <w:p w14:paraId="16E2C0D4"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12</w:t>
            </w:r>
          </w:p>
        </w:tc>
        <w:tc>
          <w:tcPr>
            <w:tcW w:w="960" w:type="dxa"/>
            <w:tcBorders>
              <w:top w:val="nil"/>
              <w:left w:val="nil"/>
              <w:bottom w:val="single" w:sz="4" w:space="0" w:color="auto"/>
              <w:right w:val="single" w:sz="4" w:space="0" w:color="auto"/>
            </w:tcBorders>
            <w:shd w:val="clear" w:color="auto" w:fill="auto"/>
            <w:noWrap/>
            <w:vAlign w:val="bottom"/>
            <w:hideMark/>
          </w:tcPr>
          <w:p w14:paraId="140C3858" w14:textId="77777777" w:rsidR="00D6583E" w:rsidRPr="00D6583E" w:rsidRDefault="00D6583E" w:rsidP="00D6583E">
            <w:pPr>
              <w:spacing w:after="0" w:line="240" w:lineRule="auto"/>
              <w:jc w:val="center"/>
              <w:rPr>
                <w:rFonts w:ascii="Calibri" w:eastAsia="Times New Roman" w:hAnsi="Calibri" w:cs="Times New Roman"/>
                <w:color w:val="000000"/>
                <w:u w:val="single"/>
                <w:lang w:eastAsia="en-GB"/>
              </w:rPr>
            </w:pPr>
            <w:r w:rsidRPr="00D6583E">
              <w:rPr>
                <w:rFonts w:ascii="Calibri" w:eastAsia="Times New Roman" w:hAnsi="Calibri" w:cs="Times New Roman"/>
                <w:color w:val="000000"/>
                <w:u w:val="single"/>
                <w:lang w:eastAsia="en-GB"/>
              </w:rPr>
              <w:t>36.6</w:t>
            </w:r>
          </w:p>
        </w:tc>
        <w:tc>
          <w:tcPr>
            <w:tcW w:w="960" w:type="dxa"/>
            <w:tcBorders>
              <w:top w:val="nil"/>
              <w:left w:val="nil"/>
              <w:bottom w:val="single" w:sz="4" w:space="0" w:color="auto"/>
              <w:right w:val="single" w:sz="4" w:space="0" w:color="auto"/>
            </w:tcBorders>
            <w:shd w:val="clear" w:color="auto" w:fill="auto"/>
            <w:noWrap/>
            <w:vAlign w:val="bottom"/>
            <w:hideMark/>
          </w:tcPr>
          <w:p w14:paraId="33DA4BB4"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34.4</w:t>
            </w:r>
          </w:p>
        </w:tc>
        <w:tc>
          <w:tcPr>
            <w:tcW w:w="960" w:type="dxa"/>
            <w:tcBorders>
              <w:top w:val="nil"/>
              <w:left w:val="nil"/>
              <w:bottom w:val="single" w:sz="4" w:space="0" w:color="auto"/>
              <w:right w:val="single" w:sz="4" w:space="0" w:color="auto"/>
            </w:tcBorders>
            <w:shd w:val="clear" w:color="auto" w:fill="auto"/>
            <w:noWrap/>
            <w:vAlign w:val="bottom"/>
            <w:hideMark/>
          </w:tcPr>
          <w:p w14:paraId="58971A05"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32.8</w:t>
            </w:r>
          </w:p>
        </w:tc>
        <w:tc>
          <w:tcPr>
            <w:tcW w:w="960" w:type="dxa"/>
            <w:tcBorders>
              <w:top w:val="nil"/>
              <w:left w:val="nil"/>
              <w:bottom w:val="single" w:sz="4" w:space="0" w:color="auto"/>
              <w:right w:val="single" w:sz="4" w:space="0" w:color="auto"/>
            </w:tcBorders>
            <w:shd w:val="clear" w:color="auto" w:fill="auto"/>
            <w:noWrap/>
            <w:vAlign w:val="bottom"/>
            <w:hideMark/>
          </w:tcPr>
          <w:p w14:paraId="37CE25A8"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31.6</w:t>
            </w:r>
          </w:p>
        </w:tc>
        <w:tc>
          <w:tcPr>
            <w:tcW w:w="960" w:type="dxa"/>
            <w:tcBorders>
              <w:top w:val="nil"/>
              <w:left w:val="nil"/>
              <w:bottom w:val="single" w:sz="4" w:space="0" w:color="auto"/>
              <w:right w:val="single" w:sz="4" w:space="0" w:color="auto"/>
            </w:tcBorders>
            <w:shd w:val="clear" w:color="auto" w:fill="auto"/>
            <w:noWrap/>
            <w:vAlign w:val="bottom"/>
            <w:hideMark/>
          </w:tcPr>
          <w:p w14:paraId="7A8770D3"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30.3</w:t>
            </w:r>
          </w:p>
        </w:tc>
        <w:tc>
          <w:tcPr>
            <w:tcW w:w="960" w:type="dxa"/>
            <w:tcBorders>
              <w:top w:val="nil"/>
              <w:left w:val="nil"/>
              <w:bottom w:val="single" w:sz="4" w:space="0" w:color="auto"/>
              <w:right w:val="single" w:sz="4" w:space="0" w:color="auto"/>
            </w:tcBorders>
            <w:shd w:val="clear" w:color="auto" w:fill="auto"/>
            <w:noWrap/>
            <w:vAlign w:val="bottom"/>
            <w:hideMark/>
          </w:tcPr>
          <w:p w14:paraId="390043D7"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29.2</w:t>
            </w:r>
          </w:p>
        </w:tc>
        <w:tc>
          <w:tcPr>
            <w:tcW w:w="960" w:type="dxa"/>
            <w:tcBorders>
              <w:top w:val="nil"/>
              <w:left w:val="nil"/>
              <w:bottom w:val="single" w:sz="4" w:space="0" w:color="auto"/>
              <w:right w:val="single" w:sz="4" w:space="0" w:color="auto"/>
            </w:tcBorders>
            <w:shd w:val="clear" w:color="auto" w:fill="auto"/>
            <w:noWrap/>
            <w:vAlign w:val="bottom"/>
            <w:hideMark/>
          </w:tcPr>
          <w:p w14:paraId="5A376C3D"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27.6</w:t>
            </w:r>
          </w:p>
        </w:tc>
      </w:tr>
      <w:tr w:rsidR="00D6583E" w:rsidRPr="00D6583E" w14:paraId="0DC2E6FA" w14:textId="77777777" w:rsidTr="00BB23A5">
        <w:trPr>
          <w:trHeight w:val="300"/>
        </w:trPr>
        <w:tc>
          <w:tcPr>
            <w:tcW w:w="1045" w:type="dxa"/>
            <w:tcBorders>
              <w:top w:val="nil"/>
              <w:left w:val="single" w:sz="4" w:space="0" w:color="auto"/>
              <w:bottom w:val="single" w:sz="4" w:space="0" w:color="auto"/>
              <w:right w:val="single" w:sz="4" w:space="0" w:color="auto"/>
            </w:tcBorders>
            <w:shd w:val="clear" w:color="auto" w:fill="auto"/>
            <w:noWrap/>
            <w:hideMark/>
          </w:tcPr>
          <w:p w14:paraId="0E78D013"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 xml:space="preserve">CI1 </w:t>
            </w:r>
          </w:p>
        </w:tc>
        <w:tc>
          <w:tcPr>
            <w:tcW w:w="960" w:type="dxa"/>
            <w:tcBorders>
              <w:top w:val="nil"/>
              <w:left w:val="nil"/>
              <w:bottom w:val="single" w:sz="4" w:space="0" w:color="auto"/>
              <w:right w:val="single" w:sz="4" w:space="0" w:color="auto"/>
            </w:tcBorders>
            <w:shd w:val="clear" w:color="auto" w:fill="auto"/>
            <w:noWrap/>
            <w:vAlign w:val="bottom"/>
            <w:hideMark/>
          </w:tcPr>
          <w:p w14:paraId="4BD3213F"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31.8</w:t>
            </w:r>
          </w:p>
        </w:tc>
        <w:tc>
          <w:tcPr>
            <w:tcW w:w="960" w:type="dxa"/>
            <w:tcBorders>
              <w:top w:val="nil"/>
              <w:left w:val="nil"/>
              <w:bottom w:val="single" w:sz="4" w:space="0" w:color="auto"/>
              <w:right w:val="single" w:sz="4" w:space="0" w:color="auto"/>
            </w:tcBorders>
            <w:shd w:val="clear" w:color="auto" w:fill="auto"/>
            <w:noWrap/>
            <w:vAlign w:val="bottom"/>
            <w:hideMark/>
          </w:tcPr>
          <w:p w14:paraId="7DAF5E80"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29.1</w:t>
            </w:r>
          </w:p>
        </w:tc>
        <w:tc>
          <w:tcPr>
            <w:tcW w:w="960" w:type="dxa"/>
            <w:tcBorders>
              <w:top w:val="nil"/>
              <w:left w:val="nil"/>
              <w:bottom w:val="single" w:sz="4" w:space="0" w:color="auto"/>
              <w:right w:val="single" w:sz="4" w:space="0" w:color="auto"/>
            </w:tcBorders>
            <w:shd w:val="clear" w:color="auto" w:fill="auto"/>
            <w:noWrap/>
            <w:vAlign w:val="bottom"/>
            <w:hideMark/>
          </w:tcPr>
          <w:p w14:paraId="4BC954ED"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27.2</w:t>
            </w:r>
          </w:p>
        </w:tc>
        <w:tc>
          <w:tcPr>
            <w:tcW w:w="960" w:type="dxa"/>
            <w:tcBorders>
              <w:top w:val="nil"/>
              <w:left w:val="nil"/>
              <w:bottom w:val="single" w:sz="4" w:space="0" w:color="auto"/>
              <w:right w:val="single" w:sz="4" w:space="0" w:color="auto"/>
            </w:tcBorders>
            <w:shd w:val="clear" w:color="auto" w:fill="auto"/>
            <w:noWrap/>
            <w:vAlign w:val="bottom"/>
            <w:hideMark/>
          </w:tcPr>
          <w:p w14:paraId="05CBEED4"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25.8</w:t>
            </w:r>
          </w:p>
        </w:tc>
        <w:tc>
          <w:tcPr>
            <w:tcW w:w="960" w:type="dxa"/>
            <w:tcBorders>
              <w:top w:val="nil"/>
              <w:left w:val="nil"/>
              <w:bottom w:val="single" w:sz="4" w:space="0" w:color="auto"/>
              <w:right w:val="single" w:sz="4" w:space="0" w:color="auto"/>
            </w:tcBorders>
            <w:shd w:val="clear" w:color="auto" w:fill="auto"/>
            <w:noWrap/>
            <w:vAlign w:val="bottom"/>
            <w:hideMark/>
          </w:tcPr>
          <w:p w14:paraId="7B95EF9D"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24.5</w:t>
            </w:r>
          </w:p>
        </w:tc>
        <w:tc>
          <w:tcPr>
            <w:tcW w:w="960" w:type="dxa"/>
            <w:tcBorders>
              <w:top w:val="nil"/>
              <w:left w:val="nil"/>
              <w:bottom w:val="single" w:sz="4" w:space="0" w:color="auto"/>
              <w:right w:val="single" w:sz="4" w:space="0" w:color="auto"/>
            </w:tcBorders>
            <w:shd w:val="clear" w:color="auto" w:fill="auto"/>
            <w:noWrap/>
            <w:vAlign w:val="bottom"/>
            <w:hideMark/>
          </w:tcPr>
          <w:p w14:paraId="42164781"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23.3</w:t>
            </w:r>
          </w:p>
        </w:tc>
        <w:tc>
          <w:tcPr>
            <w:tcW w:w="960" w:type="dxa"/>
            <w:tcBorders>
              <w:top w:val="nil"/>
              <w:left w:val="nil"/>
              <w:bottom w:val="single" w:sz="4" w:space="0" w:color="auto"/>
              <w:right w:val="single" w:sz="4" w:space="0" w:color="auto"/>
            </w:tcBorders>
            <w:shd w:val="clear" w:color="auto" w:fill="auto"/>
            <w:noWrap/>
            <w:vAlign w:val="bottom"/>
            <w:hideMark/>
          </w:tcPr>
          <w:p w14:paraId="6BC2083C"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22.1</w:t>
            </w:r>
          </w:p>
        </w:tc>
      </w:tr>
      <w:tr w:rsidR="00D6583E" w:rsidRPr="00D6583E" w14:paraId="530204DB" w14:textId="77777777" w:rsidTr="00BB23A5">
        <w:trPr>
          <w:trHeight w:val="300"/>
        </w:trPr>
        <w:tc>
          <w:tcPr>
            <w:tcW w:w="1045" w:type="dxa"/>
            <w:tcBorders>
              <w:top w:val="nil"/>
              <w:left w:val="single" w:sz="4" w:space="0" w:color="auto"/>
              <w:bottom w:val="single" w:sz="4" w:space="0" w:color="auto"/>
              <w:right w:val="single" w:sz="4" w:space="0" w:color="auto"/>
            </w:tcBorders>
            <w:shd w:val="clear" w:color="auto" w:fill="auto"/>
            <w:noWrap/>
            <w:hideMark/>
          </w:tcPr>
          <w:p w14:paraId="0923BDFF"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 xml:space="preserve">CI4 </w:t>
            </w:r>
          </w:p>
        </w:tc>
        <w:tc>
          <w:tcPr>
            <w:tcW w:w="960" w:type="dxa"/>
            <w:tcBorders>
              <w:top w:val="nil"/>
              <w:left w:val="nil"/>
              <w:bottom w:val="single" w:sz="4" w:space="0" w:color="auto"/>
              <w:right w:val="single" w:sz="4" w:space="0" w:color="auto"/>
            </w:tcBorders>
            <w:shd w:val="clear" w:color="auto" w:fill="auto"/>
            <w:noWrap/>
            <w:vAlign w:val="bottom"/>
            <w:hideMark/>
          </w:tcPr>
          <w:p w14:paraId="3B3C8374"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24.7</w:t>
            </w:r>
          </w:p>
        </w:tc>
        <w:tc>
          <w:tcPr>
            <w:tcW w:w="960" w:type="dxa"/>
            <w:tcBorders>
              <w:top w:val="nil"/>
              <w:left w:val="nil"/>
              <w:bottom w:val="single" w:sz="4" w:space="0" w:color="auto"/>
              <w:right w:val="single" w:sz="4" w:space="0" w:color="auto"/>
            </w:tcBorders>
            <w:shd w:val="clear" w:color="auto" w:fill="auto"/>
            <w:noWrap/>
            <w:vAlign w:val="bottom"/>
            <w:hideMark/>
          </w:tcPr>
          <w:p w14:paraId="1B8BCC3D"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23.4</w:t>
            </w:r>
          </w:p>
        </w:tc>
        <w:tc>
          <w:tcPr>
            <w:tcW w:w="960" w:type="dxa"/>
            <w:tcBorders>
              <w:top w:val="nil"/>
              <w:left w:val="nil"/>
              <w:bottom w:val="single" w:sz="4" w:space="0" w:color="auto"/>
              <w:right w:val="single" w:sz="4" w:space="0" w:color="auto"/>
            </w:tcBorders>
            <w:shd w:val="clear" w:color="auto" w:fill="auto"/>
            <w:noWrap/>
            <w:vAlign w:val="bottom"/>
            <w:hideMark/>
          </w:tcPr>
          <w:p w14:paraId="5D27047E"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22.5</w:t>
            </w:r>
          </w:p>
        </w:tc>
        <w:tc>
          <w:tcPr>
            <w:tcW w:w="960" w:type="dxa"/>
            <w:tcBorders>
              <w:top w:val="nil"/>
              <w:left w:val="nil"/>
              <w:bottom w:val="single" w:sz="4" w:space="0" w:color="auto"/>
              <w:right w:val="single" w:sz="4" w:space="0" w:color="auto"/>
            </w:tcBorders>
            <w:shd w:val="clear" w:color="auto" w:fill="auto"/>
            <w:noWrap/>
            <w:vAlign w:val="bottom"/>
            <w:hideMark/>
          </w:tcPr>
          <w:p w14:paraId="3CE448CA"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21.8</w:t>
            </w:r>
          </w:p>
        </w:tc>
        <w:tc>
          <w:tcPr>
            <w:tcW w:w="960" w:type="dxa"/>
            <w:tcBorders>
              <w:top w:val="nil"/>
              <w:left w:val="nil"/>
              <w:bottom w:val="single" w:sz="4" w:space="0" w:color="auto"/>
              <w:right w:val="single" w:sz="4" w:space="0" w:color="auto"/>
            </w:tcBorders>
            <w:shd w:val="clear" w:color="auto" w:fill="auto"/>
            <w:noWrap/>
            <w:vAlign w:val="bottom"/>
            <w:hideMark/>
          </w:tcPr>
          <w:p w14:paraId="1CC94042"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21.1</w:t>
            </w:r>
          </w:p>
        </w:tc>
        <w:tc>
          <w:tcPr>
            <w:tcW w:w="960" w:type="dxa"/>
            <w:tcBorders>
              <w:top w:val="nil"/>
              <w:left w:val="nil"/>
              <w:bottom w:val="single" w:sz="4" w:space="0" w:color="auto"/>
              <w:right w:val="single" w:sz="4" w:space="0" w:color="auto"/>
            </w:tcBorders>
            <w:shd w:val="clear" w:color="auto" w:fill="auto"/>
            <w:noWrap/>
            <w:vAlign w:val="bottom"/>
            <w:hideMark/>
          </w:tcPr>
          <w:p w14:paraId="6FB2D367"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20.5</w:t>
            </w:r>
          </w:p>
        </w:tc>
        <w:tc>
          <w:tcPr>
            <w:tcW w:w="960" w:type="dxa"/>
            <w:tcBorders>
              <w:top w:val="nil"/>
              <w:left w:val="nil"/>
              <w:bottom w:val="single" w:sz="4" w:space="0" w:color="auto"/>
              <w:right w:val="single" w:sz="4" w:space="0" w:color="auto"/>
            </w:tcBorders>
            <w:shd w:val="clear" w:color="auto" w:fill="auto"/>
            <w:noWrap/>
            <w:vAlign w:val="bottom"/>
            <w:hideMark/>
          </w:tcPr>
          <w:p w14:paraId="3A6515CC"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19.7</w:t>
            </w:r>
          </w:p>
        </w:tc>
      </w:tr>
      <w:tr w:rsidR="00D6583E" w:rsidRPr="00D6583E" w14:paraId="2CC5ABFC" w14:textId="77777777" w:rsidTr="00BB23A5">
        <w:trPr>
          <w:trHeight w:val="300"/>
        </w:trPr>
        <w:tc>
          <w:tcPr>
            <w:tcW w:w="1045" w:type="dxa"/>
            <w:tcBorders>
              <w:top w:val="nil"/>
              <w:left w:val="single" w:sz="4" w:space="0" w:color="auto"/>
              <w:bottom w:val="single" w:sz="4" w:space="0" w:color="auto"/>
              <w:right w:val="single" w:sz="4" w:space="0" w:color="auto"/>
            </w:tcBorders>
            <w:shd w:val="clear" w:color="auto" w:fill="auto"/>
            <w:noWrap/>
            <w:hideMark/>
          </w:tcPr>
          <w:p w14:paraId="0F8125EB"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15</w:t>
            </w:r>
          </w:p>
        </w:tc>
        <w:tc>
          <w:tcPr>
            <w:tcW w:w="960" w:type="dxa"/>
            <w:tcBorders>
              <w:top w:val="nil"/>
              <w:left w:val="nil"/>
              <w:bottom w:val="single" w:sz="4" w:space="0" w:color="auto"/>
              <w:right w:val="single" w:sz="4" w:space="0" w:color="auto"/>
            </w:tcBorders>
            <w:shd w:val="clear" w:color="auto" w:fill="auto"/>
            <w:noWrap/>
            <w:vAlign w:val="bottom"/>
            <w:hideMark/>
          </w:tcPr>
          <w:p w14:paraId="68987279"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40.0</w:t>
            </w:r>
          </w:p>
        </w:tc>
        <w:tc>
          <w:tcPr>
            <w:tcW w:w="960" w:type="dxa"/>
            <w:tcBorders>
              <w:top w:val="nil"/>
              <w:left w:val="nil"/>
              <w:bottom w:val="single" w:sz="4" w:space="0" w:color="auto"/>
              <w:right w:val="single" w:sz="4" w:space="0" w:color="auto"/>
            </w:tcBorders>
            <w:shd w:val="clear" w:color="auto" w:fill="auto"/>
            <w:noWrap/>
            <w:vAlign w:val="bottom"/>
            <w:hideMark/>
          </w:tcPr>
          <w:p w14:paraId="3B6C7E73" w14:textId="77777777" w:rsidR="00D6583E" w:rsidRPr="00D6583E" w:rsidRDefault="00D6583E" w:rsidP="00D6583E">
            <w:pPr>
              <w:spacing w:after="0" w:line="240" w:lineRule="auto"/>
              <w:jc w:val="center"/>
              <w:rPr>
                <w:rFonts w:ascii="Calibri" w:eastAsia="Times New Roman" w:hAnsi="Calibri" w:cs="Times New Roman"/>
                <w:color w:val="000000"/>
                <w:u w:val="single"/>
                <w:lang w:eastAsia="en-GB"/>
              </w:rPr>
            </w:pPr>
            <w:r w:rsidRPr="00D6583E">
              <w:rPr>
                <w:rFonts w:ascii="Calibri" w:eastAsia="Times New Roman" w:hAnsi="Calibri" w:cs="Times New Roman"/>
                <w:color w:val="000000"/>
                <w:u w:val="single"/>
                <w:lang w:eastAsia="en-GB"/>
              </w:rPr>
              <w:t>37.6</w:t>
            </w:r>
          </w:p>
        </w:tc>
        <w:tc>
          <w:tcPr>
            <w:tcW w:w="960" w:type="dxa"/>
            <w:tcBorders>
              <w:top w:val="nil"/>
              <w:left w:val="nil"/>
              <w:bottom w:val="single" w:sz="4" w:space="0" w:color="auto"/>
              <w:right w:val="single" w:sz="4" w:space="0" w:color="auto"/>
            </w:tcBorders>
            <w:shd w:val="clear" w:color="auto" w:fill="auto"/>
            <w:noWrap/>
            <w:vAlign w:val="bottom"/>
            <w:hideMark/>
          </w:tcPr>
          <w:p w14:paraId="4C3BCA3C"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35.9</w:t>
            </w:r>
          </w:p>
        </w:tc>
        <w:tc>
          <w:tcPr>
            <w:tcW w:w="960" w:type="dxa"/>
            <w:tcBorders>
              <w:top w:val="nil"/>
              <w:left w:val="nil"/>
              <w:bottom w:val="single" w:sz="4" w:space="0" w:color="auto"/>
              <w:right w:val="single" w:sz="4" w:space="0" w:color="auto"/>
            </w:tcBorders>
            <w:shd w:val="clear" w:color="auto" w:fill="auto"/>
            <w:noWrap/>
            <w:vAlign w:val="bottom"/>
            <w:hideMark/>
          </w:tcPr>
          <w:p w14:paraId="2CCA2C13"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34.6</w:t>
            </w:r>
          </w:p>
        </w:tc>
        <w:tc>
          <w:tcPr>
            <w:tcW w:w="960" w:type="dxa"/>
            <w:tcBorders>
              <w:top w:val="nil"/>
              <w:left w:val="nil"/>
              <w:bottom w:val="single" w:sz="4" w:space="0" w:color="auto"/>
              <w:right w:val="single" w:sz="4" w:space="0" w:color="auto"/>
            </w:tcBorders>
            <w:shd w:val="clear" w:color="auto" w:fill="auto"/>
            <w:noWrap/>
            <w:vAlign w:val="bottom"/>
            <w:hideMark/>
          </w:tcPr>
          <w:p w14:paraId="6309AB4B"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33.3</w:t>
            </w:r>
          </w:p>
        </w:tc>
        <w:tc>
          <w:tcPr>
            <w:tcW w:w="960" w:type="dxa"/>
            <w:tcBorders>
              <w:top w:val="nil"/>
              <w:left w:val="nil"/>
              <w:bottom w:val="single" w:sz="4" w:space="0" w:color="auto"/>
              <w:right w:val="single" w:sz="4" w:space="0" w:color="auto"/>
            </w:tcBorders>
            <w:shd w:val="clear" w:color="auto" w:fill="auto"/>
            <w:noWrap/>
            <w:vAlign w:val="bottom"/>
            <w:hideMark/>
          </w:tcPr>
          <w:p w14:paraId="04FD46A6"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32.0</w:t>
            </w:r>
          </w:p>
        </w:tc>
        <w:tc>
          <w:tcPr>
            <w:tcW w:w="960" w:type="dxa"/>
            <w:tcBorders>
              <w:top w:val="nil"/>
              <w:left w:val="nil"/>
              <w:bottom w:val="single" w:sz="4" w:space="0" w:color="auto"/>
              <w:right w:val="single" w:sz="4" w:space="0" w:color="auto"/>
            </w:tcBorders>
            <w:shd w:val="clear" w:color="auto" w:fill="auto"/>
            <w:noWrap/>
            <w:vAlign w:val="bottom"/>
            <w:hideMark/>
          </w:tcPr>
          <w:p w14:paraId="038BFF16"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30.3</w:t>
            </w:r>
          </w:p>
        </w:tc>
      </w:tr>
      <w:tr w:rsidR="00D6583E" w:rsidRPr="00D6583E" w14:paraId="3A4859A6" w14:textId="77777777" w:rsidTr="00BB23A5">
        <w:trPr>
          <w:trHeight w:val="300"/>
        </w:trPr>
        <w:tc>
          <w:tcPr>
            <w:tcW w:w="1045" w:type="dxa"/>
            <w:tcBorders>
              <w:top w:val="nil"/>
              <w:left w:val="single" w:sz="4" w:space="0" w:color="auto"/>
              <w:bottom w:val="single" w:sz="4" w:space="0" w:color="auto"/>
              <w:right w:val="single" w:sz="4" w:space="0" w:color="auto"/>
            </w:tcBorders>
            <w:shd w:val="clear" w:color="auto" w:fill="auto"/>
            <w:noWrap/>
            <w:hideMark/>
          </w:tcPr>
          <w:p w14:paraId="3663B6D8"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 xml:space="preserve">W1 </w:t>
            </w:r>
          </w:p>
        </w:tc>
        <w:tc>
          <w:tcPr>
            <w:tcW w:w="960" w:type="dxa"/>
            <w:tcBorders>
              <w:top w:val="nil"/>
              <w:left w:val="nil"/>
              <w:bottom w:val="single" w:sz="4" w:space="0" w:color="auto"/>
              <w:right w:val="single" w:sz="4" w:space="0" w:color="auto"/>
            </w:tcBorders>
            <w:shd w:val="clear" w:color="auto" w:fill="auto"/>
            <w:noWrap/>
            <w:vAlign w:val="bottom"/>
            <w:hideMark/>
          </w:tcPr>
          <w:p w14:paraId="2A6A3D35"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43.5</w:t>
            </w:r>
          </w:p>
        </w:tc>
        <w:tc>
          <w:tcPr>
            <w:tcW w:w="960" w:type="dxa"/>
            <w:tcBorders>
              <w:top w:val="nil"/>
              <w:left w:val="nil"/>
              <w:bottom w:val="single" w:sz="4" w:space="0" w:color="auto"/>
              <w:right w:val="single" w:sz="4" w:space="0" w:color="auto"/>
            </w:tcBorders>
            <w:shd w:val="clear" w:color="auto" w:fill="auto"/>
            <w:noWrap/>
            <w:vAlign w:val="bottom"/>
            <w:hideMark/>
          </w:tcPr>
          <w:p w14:paraId="48BAF1B2" w14:textId="77777777" w:rsidR="00D6583E" w:rsidRPr="00D6583E" w:rsidRDefault="00D6583E" w:rsidP="00D6583E">
            <w:pPr>
              <w:spacing w:after="0" w:line="240" w:lineRule="auto"/>
              <w:jc w:val="center"/>
              <w:rPr>
                <w:rFonts w:ascii="Calibri" w:eastAsia="Times New Roman" w:hAnsi="Calibri" w:cs="Times New Roman"/>
                <w:color w:val="000000"/>
                <w:u w:val="single"/>
                <w:lang w:eastAsia="en-GB"/>
              </w:rPr>
            </w:pPr>
            <w:r w:rsidRPr="00D6583E">
              <w:rPr>
                <w:rFonts w:ascii="Calibri" w:eastAsia="Times New Roman" w:hAnsi="Calibri" w:cs="Times New Roman"/>
                <w:color w:val="000000"/>
                <w:u w:val="single"/>
                <w:lang w:eastAsia="en-GB"/>
              </w:rPr>
              <w:t>39.5</w:t>
            </w:r>
          </w:p>
        </w:tc>
        <w:tc>
          <w:tcPr>
            <w:tcW w:w="960" w:type="dxa"/>
            <w:tcBorders>
              <w:top w:val="nil"/>
              <w:left w:val="nil"/>
              <w:bottom w:val="single" w:sz="4" w:space="0" w:color="auto"/>
              <w:right w:val="single" w:sz="4" w:space="0" w:color="auto"/>
            </w:tcBorders>
            <w:shd w:val="clear" w:color="auto" w:fill="auto"/>
            <w:noWrap/>
            <w:vAlign w:val="bottom"/>
            <w:hideMark/>
          </w:tcPr>
          <w:p w14:paraId="46D71287" w14:textId="77777777" w:rsidR="00D6583E" w:rsidRPr="00D6583E" w:rsidRDefault="00D6583E" w:rsidP="00D6583E">
            <w:pPr>
              <w:spacing w:after="0" w:line="240" w:lineRule="auto"/>
              <w:jc w:val="center"/>
              <w:rPr>
                <w:rFonts w:ascii="Calibri" w:eastAsia="Times New Roman" w:hAnsi="Calibri" w:cs="Times New Roman"/>
                <w:color w:val="000000"/>
                <w:u w:val="single"/>
                <w:lang w:eastAsia="en-GB"/>
              </w:rPr>
            </w:pPr>
            <w:r w:rsidRPr="00D6583E">
              <w:rPr>
                <w:rFonts w:ascii="Calibri" w:eastAsia="Times New Roman" w:hAnsi="Calibri" w:cs="Times New Roman"/>
                <w:color w:val="000000"/>
                <w:u w:val="single"/>
                <w:lang w:eastAsia="en-GB"/>
              </w:rPr>
              <w:t>36.8</w:t>
            </w:r>
          </w:p>
        </w:tc>
        <w:tc>
          <w:tcPr>
            <w:tcW w:w="960" w:type="dxa"/>
            <w:tcBorders>
              <w:top w:val="nil"/>
              <w:left w:val="nil"/>
              <w:bottom w:val="single" w:sz="4" w:space="0" w:color="auto"/>
              <w:right w:val="single" w:sz="4" w:space="0" w:color="auto"/>
            </w:tcBorders>
            <w:shd w:val="clear" w:color="auto" w:fill="auto"/>
            <w:noWrap/>
            <w:vAlign w:val="bottom"/>
            <w:hideMark/>
          </w:tcPr>
          <w:p w14:paraId="43EEAF37"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34.8</w:t>
            </w:r>
          </w:p>
        </w:tc>
        <w:tc>
          <w:tcPr>
            <w:tcW w:w="960" w:type="dxa"/>
            <w:tcBorders>
              <w:top w:val="nil"/>
              <w:left w:val="nil"/>
              <w:bottom w:val="single" w:sz="4" w:space="0" w:color="auto"/>
              <w:right w:val="single" w:sz="4" w:space="0" w:color="auto"/>
            </w:tcBorders>
            <w:shd w:val="clear" w:color="auto" w:fill="auto"/>
            <w:noWrap/>
            <w:vAlign w:val="bottom"/>
            <w:hideMark/>
          </w:tcPr>
          <w:p w14:paraId="36C4B995"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32.9</w:t>
            </w:r>
          </w:p>
        </w:tc>
        <w:tc>
          <w:tcPr>
            <w:tcW w:w="960" w:type="dxa"/>
            <w:tcBorders>
              <w:top w:val="nil"/>
              <w:left w:val="nil"/>
              <w:bottom w:val="single" w:sz="4" w:space="0" w:color="auto"/>
              <w:right w:val="single" w:sz="4" w:space="0" w:color="auto"/>
            </w:tcBorders>
            <w:shd w:val="clear" w:color="auto" w:fill="auto"/>
            <w:noWrap/>
            <w:vAlign w:val="bottom"/>
            <w:hideMark/>
          </w:tcPr>
          <w:p w14:paraId="3410527C"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31.2</w:t>
            </w:r>
          </w:p>
        </w:tc>
        <w:tc>
          <w:tcPr>
            <w:tcW w:w="960" w:type="dxa"/>
            <w:tcBorders>
              <w:top w:val="nil"/>
              <w:left w:val="nil"/>
              <w:bottom w:val="single" w:sz="4" w:space="0" w:color="auto"/>
              <w:right w:val="single" w:sz="4" w:space="0" w:color="auto"/>
            </w:tcBorders>
            <w:shd w:val="clear" w:color="auto" w:fill="auto"/>
            <w:noWrap/>
            <w:vAlign w:val="bottom"/>
            <w:hideMark/>
          </w:tcPr>
          <w:p w14:paraId="71393237"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29.5</w:t>
            </w:r>
          </w:p>
        </w:tc>
      </w:tr>
      <w:tr w:rsidR="00D6583E" w:rsidRPr="00D6583E" w14:paraId="21660D32" w14:textId="77777777" w:rsidTr="00BB23A5">
        <w:trPr>
          <w:trHeight w:val="300"/>
        </w:trPr>
        <w:tc>
          <w:tcPr>
            <w:tcW w:w="1045" w:type="dxa"/>
            <w:tcBorders>
              <w:top w:val="nil"/>
              <w:left w:val="single" w:sz="4" w:space="0" w:color="auto"/>
              <w:bottom w:val="single" w:sz="4" w:space="0" w:color="auto"/>
              <w:right w:val="single" w:sz="4" w:space="0" w:color="auto"/>
            </w:tcBorders>
            <w:shd w:val="clear" w:color="auto" w:fill="auto"/>
            <w:noWrap/>
            <w:hideMark/>
          </w:tcPr>
          <w:p w14:paraId="04A3FDEA"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 xml:space="preserve">W2 </w:t>
            </w:r>
          </w:p>
        </w:tc>
        <w:tc>
          <w:tcPr>
            <w:tcW w:w="960" w:type="dxa"/>
            <w:tcBorders>
              <w:top w:val="nil"/>
              <w:left w:val="nil"/>
              <w:bottom w:val="single" w:sz="4" w:space="0" w:color="auto"/>
              <w:right w:val="single" w:sz="4" w:space="0" w:color="auto"/>
            </w:tcBorders>
            <w:shd w:val="clear" w:color="auto" w:fill="auto"/>
            <w:noWrap/>
            <w:vAlign w:val="bottom"/>
            <w:hideMark/>
          </w:tcPr>
          <w:p w14:paraId="2250ADDC"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31.3</w:t>
            </w:r>
          </w:p>
        </w:tc>
        <w:tc>
          <w:tcPr>
            <w:tcW w:w="960" w:type="dxa"/>
            <w:tcBorders>
              <w:top w:val="nil"/>
              <w:left w:val="nil"/>
              <w:bottom w:val="single" w:sz="4" w:space="0" w:color="auto"/>
              <w:right w:val="single" w:sz="4" w:space="0" w:color="auto"/>
            </w:tcBorders>
            <w:shd w:val="clear" w:color="auto" w:fill="auto"/>
            <w:noWrap/>
            <w:vAlign w:val="bottom"/>
            <w:hideMark/>
          </w:tcPr>
          <w:p w14:paraId="0C2A9F13"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28.6</w:t>
            </w:r>
          </w:p>
        </w:tc>
        <w:tc>
          <w:tcPr>
            <w:tcW w:w="960" w:type="dxa"/>
            <w:tcBorders>
              <w:top w:val="nil"/>
              <w:left w:val="nil"/>
              <w:bottom w:val="single" w:sz="4" w:space="0" w:color="auto"/>
              <w:right w:val="single" w:sz="4" w:space="0" w:color="auto"/>
            </w:tcBorders>
            <w:shd w:val="clear" w:color="auto" w:fill="auto"/>
            <w:noWrap/>
            <w:vAlign w:val="bottom"/>
            <w:hideMark/>
          </w:tcPr>
          <w:p w14:paraId="5A2560AF"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26.8</w:t>
            </w:r>
          </w:p>
        </w:tc>
        <w:tc>
          <w:tcPr>
            <w:tcW w:w="960" w:type="dxa"/>
            <w:tcBorders>
              <w:top w:val="nil"/>
              <w:left w:val="nil"/>
              <w:bottom w:val="single" w:sz="4" w:space="0" w:color="auto"/>
              <w:right w:val="single" w:sz="4" w:space="0" w:color="auto"/>
            </w:tcBorders>
            <w:shd w:val="clear" w:color="auto" w:fill="auto"/>
            <w:noWrap/>
            <w:vAlign w:val="bottom"/>
            <w:hideMark/>
          </w:tcPr>
          <w:p w14:paraId="66FB1009"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25.5</w:t>
            </w:r>
          </w:p>
        </w:tc>
        <w:tc>
          <w:tcPr>
            <w:tcW w:w="960" w:type="dxa"/>
            <w:tcBorders>
              <w:top w:val="nil"/>
              <w:left w:val="nil"/>
              <w:bottom w:val="single" w:sz="4" w:space="0" w:color="auto"/>
              <w:right w:val="single" w:sz="4" w:space="0" w:color="auto"/>
            </w:tcBorders>
            <w:shd w:val="clear" w:color="auto" w:fill="auto"/>
            <w:noWrap/>
            <w:vAlign w:val="bottom"/>
            <w:hideMark/>
          </w:tcPr>
          <w:p w14:paraId="48A309C7"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24.3</w:t>
            </w:r>
          </w:p>
        </w:tc>
        <w:tc>
          <w:tcPr>
            <w:tcW w:w="960" w:type="dxa"/>
            <w:tcBorders>
              <w:top w:val="nil"/>
              <w:left w:val="nil"/>
              <w:bottom w:val="single" w:sz="4" w:space="0" w:color="auto"/>
              <w:right w:val="single" w:sz="4" w:space="0" w:color="auto"/>
            </w:tcBorders>
            <w:shd w:val="clear" w:color="auto" w:fill="auto"/>
            <w:noWrap/>
            <w:vAlign w:val="bottom"/>
            <w:hideMark/>
          </w:tcPr>
          <w:p w14:paraId="31BAEF56"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23.1</w:t>
            </w:r>
          </w:p>
        </w:tc>
        <w:tc>
          <w:tcPr>
            <w:tcW w:w="960" w:type="dxa"/>
            <w:tcBorders>
              <w:top w:val="nil"/>
              <w:left w:val="nil"/>
              <w:bottom w:val="single" w:sz="4" w:space="0" w:color="auto"/>
              <w:right w:val="single" w:sz="4" w:space="0" w:color="auto"/>
            </w:tcBorders>
            <w:shd w:val="clear" w:color="auto" w:fill="auto"/>
            <w:noWrap/>
            <w:vAlign w:val="bottom"/>
            <w:hideMark/>
          </w:tcPr>
          <w:p w14:paraId="6B7C7A20"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22.0</w:t>
            </w:r>
          </w:p>
        </w:tc>
      </w:tr>
      <w:tr w:rsidR="00D6583E" w:rsidRPr="00D6583E" w14:paraId="798E5972" w14:textId="77777777" w:rsidTr="00BB23A5">
        <w:trPr>
          <w:trHeight w:val="300"/>
        </w:trPr>
        <w:tc>
          <w:tcPr>
            <w:tcW w:w="1045" w:type="dxa"/>
            <w:tcBorders>
              <w:top w:val="nil"/>
              <w:left w:val="single" w:sz="4" w:space="0" w:color="auto"/>
              <w:bottom w:val="single" w:sz="4" w:space="0" w:color="auto"/>
              <w:right w:val="single" w:sz="4" w:space="0" w:color="auto"/>
            </w:tcBorders>
            <w:shd w:val="clear" w:color="auto" w:fill="auto"/>
            <w:noWrap/>
            <w:hideMark/>
          </w:tcPr>
          <w:p w14:paraId="6314FC79"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 xml:space="preserve">O1 </w:t>
            </w:r>
          </w:p>
        </w:tc>
        <w:tc>
          <w:tcPr>
            <w:tcW w:w="960" w:type="dxa"/>
            <w:tcBorders>
              <w:top w:val="nil"/>
              <w:left w:val="nil"/>
              <w:bottom w:val="single" w:sz="4" w:space="0" w:color="auto"/>
              <w:right w:val="single" w:sz="4" w:space="0" w:color="auto"/>
            </w:tcBorders>
            <w:shd w:val="clear" w:color="auto" w:fill="auto"/>
            <w:noWrap/>
            <w:vAlign w:val="bottom"/>
            <w:hideMark/>
          </w:tcPr>
          <w:p w14:paraId="37268879"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30.7</w:t>
            </w:r>
          </w:p>
        </w:tc>
        <w:tc>
          <w:tcPr>
            <w:tcW w:w="960" w:type="dxa"/>
            <w:tcBorders>
              <w:top w:val="nil"/>
              <w:left w:val="nil"/>
              <w:bottom w:val="single" w:sz="4" w:space="0" w:color="auto"/>
              <w:right w:val="single" w:sz="4" w:space="0" w:color="auto"/>
            </w:tcBorders>
            <w:shd w:val="clear" w:color="auto" w:fill="auto"/>
            <w:noWrap/>
            <w:vAlign w:val="bottom"/>
            <w:hideMark/>
          </w:tcPr>
          <w:p w14:paraId="5C4E4D9E"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28.4</w:t>
            </w:r>
          </w:p>
        </w:tc>
        <w:tc>
          <w:tcPr>
            <w:tcW w:w="960" w:type="dxa"/>
            <w:tcBorders>
              <w:top w:val="nil"/>
              <w:left w:val="nil"/>
              <w:bottom w:val="single" w:sz="4" w:space="0" w:color="auto"/>
              <w:right w:val="single" w:sz="4" w:space="0" w:color="auto"/>
            </w:tcBorders>
            <w:shd w:val="clear" w:color="auto" w:fill="auto"/>
            <w:noWrap/>
            <w:vAlign w:val="bottom"/>
            <w:hideMark/>
          </w:tcPr>
          <w:p w14:paraId="43048110"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26.8</w:t>
            </w:r>
          </w:p>
        </w:tc>
        <w:tc>
          <w:tcPr>
            <w:tcW w:w="960" w:type="dxa"/>
            <w:tcBorders>
              <w:top w:val="nil"/>
              <w:left w:val="nil"/>
              <w:bottom w:val="single" w:sz="4" w:space="0" w:color="auto"/>
              <w:right w:val="single" w:sz="4" w:space="0" w:color="auto"/>
            </w:tcBorders>
            <w:shd w:val="clear" w:color="auto" w:fill="auto"/>
            <w:noWrap/>
            <w:vAlign w:val="bottom"/>
            <w:hideMark/>
          </w:tcPr>
          <w:p w14:paraId="1ED81469"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25.7</w:t>
            </w:r>
          </w:p>
        </w:tc>
        <w:tc>
          <w:tcPr>
            <w:tcW w:w="960" w:type="dxa"/>
            <w:tcBorders>
              <w:top w:val="nil"/>
              <w:left w:val="nil"/>
              <w:bottom w:val="single" w:sz="4" w:space="0" w:color="auto"/>
              <w:right w:val="single" w:sz="4" w:space="0" w:color="auto"/>
            </w:tcBorders>
            <w:shd w:val="clear" w:color="auto" w:fill="auto"/>
            <w:noWrap/>
            <w:vAlign w:val="bottom"/>
            <w:hideMark/>
          </w:tcPr>
          <w:p w14:paraId="6293D290"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24.7</w:t>
            </w:r>
          </w:p>
        </w:tc>
        <w:tc>
          <w:tcPr>
            <w:tcW w:w="960" w:type="dxa"/>
            <w:tcBorders>
              <w:top w:val="nil"/>
              <w:left w:val="nil"/>
              <w:bottom w:val="single" w:sz="4" w:space="0" w:color="auto"/>
              <w:right w:val="single" w:sz="4" w:space="0" w:color="auto"/>
            </w:tcBorders>
            <w:shd w:val="clear" w:color="auto" w:fill="auto"/>
            <w:noWrap/>
            <w:vAlign w:val="bottom"/>
            <w:hideMark/>
          </w:tcPr>
          <w:p w14:paraId="5C01D705"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23.7</w:t>
            </w:r>
          </w:p>
        </w:tc>
        <w:tc>
          <w:tcPr>
            <w:tcW w:w="960" w:type="dxa"/>
            <w:tcBorders>
              <w:top w:val="nil"/>
              <w:left w:val="nil"/>
              <w:bottom w:val="single" w:sz="4" w:space="0" w:color="auto"/>
              <w:right w:val="single" w:sz="4" w:space="0" w:color="auto"/>
            </w:tcBorders>
            <w:shd w:val="clear" w:color="auto" w:fill="auto"/>
            <w:noWrap/>
            <w:vAlign w:val="bottom"/>
            <w:hideMark/>
          </w:tcPr>
          <w:p w14:paraId="4DA2CC8F"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22.7</w:t>
            </w:r>
          </w:p>
        </w:tc>
      </w:tr>
      <w:tr w:rsidR="00D6583E" w:rsidRPr="00D6583E" w14:paraId="5A96C4B3" w14:textId="77777777" w:rsidTr="00BB23A5">
        <w:trPr>
          <w:trHeight w:val="300"/>
        </w:trPr>
        <w:tc>
          <w:tcPr>
            <w:tcW w:w="1045" w:type="dxa"/>
            <w:tcBorders>
              <w:top w:val="nil"/>
              <w:left w:val="single" w:sz="4" w:space="0" w:color="auto"/>
              <w:bottom w:val="single" w:sz="4" w:space="0" w:color="auto"/>
              <w:right w:val="single" w:sz="4" w:space="0" w:color="auto"/>
            </w:tcBorders>
            <w:shd w:val="clear" w:color="auto" w:fill="auto"/>
            <w:noWrap/>
            <w:hideMark/>
          </w:tcPr>
          <w:p w14:paraId="650A5FE6"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 xml:space="preserve">O2 </w:t>
            </w:r>
          </w:p>
        </w:tc>
        <w:tc>
          <w:tcPr>
            <w:tcW w:w="960" w:type="dxa"/>
            <w:tcBorders>
              <w:top w:val="nil"/>
              <w:left w:val="nil"/>
              <w:bottom w:val="single" w:sz="4" w:space="0" w:color="auto"/>
              <w:right w:val="single" w:sz="4" w:space="0" w:color="auto"/>
            </w:tcBorders>
            <w:shd w:val="clear" w:color="auto" w:fill="auto"/>
            <w:noWrap/>
            <w:vAlign w:val="bottom"/>
            <w:hideMark/>
          </w:tcPr>
          <w:p w14:paraId="5A0DF390" w14:textId="77777777" w:rsidR="00D6583E" w:rsidRPr="00D6583E" w:rsidRDefault="00D6583E" w:rsidP="00D6583E">
            <w:pPr>
              <w:spacing w:after="0" w:line="240" w:lineRule="auto"/>
              <w:jc w:val="center"/>
              <w:rPr>
                <w:rFonts w:ascii="Calibri" w:eastAsia="Times New Roman" w:hAnsi="Calibri" w:cs="Times New Roman"/>
                <w:b/>
                <w:bCs/>
                <w:color w:val="000000"/>
                <w:lang w:eastAsia="en-GB"/>
              </w:rPr>
            </w:pPr>
            <w:r w:rsidRPr="00D6583E">
              <w:rPr>
                <w:rFonts w:ascii="Calibri" w:eastAsia="Times New Roman" w:hAnsi="Calibri" w:cs="Times New Roman"/>
                <w:b/>
                <w:bCs/>
                <w:color w:val="000000"/>
                <w:lang w:eastAsia="en-GB"/>
              </w:rPr>
              <w:t>42.4</w:t>
            </w:r>
          </w:p>
        </w:tc>
        <w:tc>
          <w:tcPr>
            <w:tcW w:w="960" w:type="dxa"/>
            <w:tcBorders>
              <w:top w:val="nil"/>
              <w:left w:val="nil"/>
              <w:bottom w:val="single" w:sz="4" w:space="0" w:color="auto"/>
              <w:right w:val="single" w:sz="4" w:space="0" w:color="auto"/>
            </w:tcBorders>
            <w:shd w:val="clear" w:color="auto" w:fill="auto"/>
            <w:noWrap/>
            <w:vAlign w:val="bottom"/>
            <w:hideMark/>
          </w:tcPr>
          <w:p w14:paraId="6445C290" w14:textId="77777777" w:rsidR="00D6583E" w:rsidRPr="00D6583E" w:rsidRDefault="00D6583E" w:rsidP="00D6583E">
            <w:pPr>
              <w:spacing w:after="0" w:line="240" w:lineRule="auto"/>
              <w:jc w:val="center"/>
              <w:rPr>
                <w:rFonts w:ascii="Calibri" w:eastAsia="Times New Roman" w:hAnsi="Calibri" w:cs="Times New Roman"/>
                <w:color w:val="000000"/>
                <w:u w:val="single"/>
                <w:lang w:eastAsia="en-GB"/>
              </w:rPr>
            </w:pPr>
            <w:r w:rsidRPr="00D6583E">
              <w:rPr>
                <w:rFonts w:ascii="Calibri" w:eastAsia="Times New Roman" w:hAnsi="Calibri" w:cs="Times New Roman"/>
                <w:color w:val="000000"/>
                <w:u w:val="single"/>
                <w:lang w:eastAsia="en-GB"/>
              </w:rPr>
              <w:t>39.0</w:t>
            </w:r>
          </w:p>
        </w:tc>
        <w:tc>
          <w:tcPr>
            <w:tcW w:w="960" w:type="dxa"/>
            <w:tcBorders>
              <w:top w:val="nil"/>
              <w:left w:val="nil"/>
              <w:bottom w:val="single" w:sz="4" w:space="0" w:color="auto"/>
              <w:right w:val="single" w:sz="4" w:space="0" w:color="auto"/>
            </w:tcBorders>
            <w:shd w:val="clear" w:color="auto" w:fill="auto"/>
            <w:noWrap/>
            <w:vAlign w:val="bottom"/>
            <w:hideMark/>
          </w:tcPr>
          <w:p w14:paraId="6345F3B0" w14:textId="77777777" w:rsidR="00D6583E" w:rsidRPr="00D6583E" w:rsidRDefault="00D6583E" w:rsidP="00D6583E">
            <w:pPr>
              <w:spacing w:after="0" w:line="240" w:lineRule="auto"/>
              <w:jc w:val="center"/>
              <w:rPr>
                <w:rFonts w:ascii="Calibri" w:eastAsia="Times New Roman" w:hAnsi="Calibri" w:cs="Times New Roman"/>
                <w:color w:val="000000"/>
                <w:u w:val="single"/>
                <w:lang w:eastAsia="en-GB"/>
              </w:rPr>
            </w:pPr>
            <w:r w:rsidRPr="00D6583E">
              <w:rPr>
                <w:rFonts w:ascii="Calibri" w:eastAsia="Times New Roman" w:hAnsi="Calibri" w:cs="Times New Roman"/>
                <w:color w:val="000000"/>
                <w:u w:val="single"/>
                <w:lang w:eastAsia="en-GB"/>
              </w:rPr>
              <w:t>36.6</w:t>
            </w:r>
          </w:p>
        </w:tc>
        <w:tc>
          <w:tcPr>
            <w:tcW w:w="960" w:type="dxa"/>
            <w:tcBorders>
              <w:top w:val="nil"/>
              <w:left w:val="nil"/>
              <w:bottom w:val="single" w:sz="4" w:space="0" w:color="auto"/>
              <w:right w:val="single" w:sz="4" w:space="0" w:color="auto"/>
            </w:tcBorders>
            <w:shd w:val="clear" w:color="auto" w:fill="auto"/>
            <w:noWrap/>
            <w:vAlign w:val="bottom"/>
            <w:hideMark/>
          </w:tcPr>
          <w:p w14:paraId="0DA29DED"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35.0</w:t>
            </w:r>
          </w:p>
        </w:tc>
        <w:tc>
          <w:tcPr>
            <w:tcW w:w="960" w:type="dxa"/>
            <w:tcBorders>
              <w:top w:val="nil"/>
              <w:left w:val="nil"/>
              <w:bottom w:val="single" w:sz="4" w:space="0" w:color="auto"/>
              <w:right w:val="single" w:sz="4" w:space="0" w:color="auto"/>
            </w:tcBorders>
            <w:shd w:val="clear" w:color="auto" w:fill="auto"/>
            <w:noWrap/>
            <w:vAlign w:val="bottom"/>
            <w:hideMark/>
          </w:tcPr>
          <w:p w14:paraId="329151A8"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33.4</w:t>
            </w:r>
          </w:p>
        </w:tc>
        <w:tc>
          <w:tcPr>
            <w:tcW w:w="960" w:type="dxa"/>
            <w:tcBorders>
              <w:top w:val="nil"/>
              <w:left w:val="nil"/>
              <w:bottom w:val="single" w:sz="4" w:space="0" w:color="auto"/>
              <w:right w:val="single" w:sz="4" w:space="0" w:color="auto"/>
            </w:tcBorders>
            <w:shd w:val="clear" w:color="auto" w:fill="auto"/>
            <w:noWrap/>
            <w:vAlign w:val="bottom"/>
            <w:hideMark/>
          </w:tcPr>
          <w:p w14:paraId="0BF67B97"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31.9</w:t>
            </w:r>
          </w:p>
        </w:tc>
        <w:tc>
          <w:tcPr>
            <w:tcW w:w="960" w:type="dxa"/>
            <w:tcBorders>
              <w:top w:val="nil"/>
              <w:left w:val="nil"/>
              <w:bottom w:val="single" w:sz="4" w:space="0" w:color="auto"/>
              <w:right w:val="single" w:sz="4" w:space="0" w:color="auto"/>
            </w:tcBorders>
            <w:shd w:val="clear" w:color="auto" w:fill="auto"/>
            <w:noWrap/>
            <w:vAlign w:val="bottom"/>
            <w:hideMark/>
          </w:tcPr>
          <w:p w14:paraId="09F0165E" w14:textId="77777777" w:rsidR="00D6583E" w:rsidRPr="00D6583E" w:rsidRDefault="00D6583E" w:rsidP="00D6583E">
            <w:pPr>
              <w:spacing w:after="0" w:line="240" w:lineRule="auto"/>
              <w:jc w:val="center"/>
              <w:rPr>
                <w:rFonts w:ascii="Calibri" w:eastAsia="Times New Roman" w:hAnsi="Calibri" w:cs="Times New Roman"/>
                <w:color w:val="000000"/>
                <w:lang w:eastAsia="en-GB"/>
              </w:rPr>
            </w:pPr>
            <w:r w:rsidRPr="00D6583E">
              <w:rPr>
                <w:rFonts w:ascii="Calibri" w:eastAsia="Times New Roman" w:hAnsi="Calibri" w:cs="Times New Roman"/>
                <w:color w:val="000000"/>
                <w:lang w:eastAsia="en-GB"/>
              </w:rPr>
              <w:t>30.3</w:t>
            </w:r>
          </w:p>
        </w:tc>
      </w:tr>
    </w:tbl>
    <w:p w14:paraId="6504FBD7" w14:textId="77777777" w:rsidR="00D6583E" w:rsidRDefault="00A25434">
      <w:r>
        <w:t>Note: Exceedances of the Air Quality Standard are shown in bold and those within 10% (&gt;36µgm</w:t>
      </w:r>
      <w:r w:rsidRPr="00A25434">
        <w:rPr>
          <w:vertAlign w:val="superscript"/>
        </w:rPr>
        <w:t>-3</w:t>
      </w:r>
      <w:r>
        <w:t>) are underlined).</w:t>
      </w:r>
    </w:p>
    <w:p w14:paraId="0B3E47C4" w14:textId="77777777" w:rsidR="00BB23A5" w:rsidRPr="00BB23A5" w:rsidRDefault="00BB23A5" w:rsidP="00947DF1">
      <w:pPr>
        <w:pStyle w:val="Caption"/>
        <w:keepNext/>
        <w:spacing w:after="0"/>
        <w:rPr>
          <w:rFonts w:ascii="Calibri" w:eastAsia="Times New Roman" w:hAnsi="Calibri" w:cs="Times New Roman"/>
          <w:b w:val="0"/>
          <w:bCs w:val="0"/>
          <w:color w:val="000000"/>
          <w:sz w:val="22"/>
          <w:szCs w:val="22"/>
          <w:lang w:eastAsia="en-GB"/>
        </w:rPr>
      </w:pPr>
      <w:r w:rsidRPr="00BB23A5">
        <w:rPr>
          <w:rFonts w:ascii="Calibri" w:eastAsia="Times New Roman" w:hAnsi="Calibri" w:cs="Times New Roman"/>
          <w:bCs w:val="0"/>
          <w:color w:val="000000"/>
          <w:sz w:val="22"/>
          <w:szCs w:val="22"/>
          <w:lang w:eastAsia="en-GB"/>
        </w:rPr>
        <w:t xml:space="preserve">Table </w:t>
      </w:r>
      <w:r w:rsidRPr="00BB23A5">
        <w:rPr>
          <w:rFonts w:ascii="Calibri" w:eastAsia="Times New Roman" w:hAnsi="Calibri" w:cs="Times New Roman"/>
          <w:bCs w:val="0"/>
          <w:color w:val="000000"/>
          <w:sz w:val="22"/>
          <w:szCs w:val="22"/>
          <w:lang w:eastAsia="en-GB"/>
        </w:rPr>
        <w:fldChar w:fldCharType="begin"/>
      </w:r>
      <w:r w:rsidRPr="00BB23A5">
        <w:rPr>
          <w:rFonts w:ascii="Calibri" w:eastAsia="Times New Roman" w:hAnsi="Calibri" w:cs="Times New Roman"/>
          <w:bCs w:val="0"/>
          <w:color w:val="000000"/>
          <w:sz w:val="22"/>
          <w:szCs w:val="22"/>
          <w:lang w:eastAsia="en-GB"/>
        </w:rPr>
        <w:instrText xml:space="preserve"> SEQ Table \* ARABIC </w:instrText>
      </w:r>
      <w:r w:rsidRPr="00BB23A5">
        <w:rPr>
          <w:rFonts w:ascii="Calibri" w:eastAsia="Times New Roman" w:hAnsi="Calibri" w:cs="Times New Roman"/>
          <w:bCs w:val="0"/>
          <w:color w:val="000000"/>
          <w:sz w:val="22"/>
          <w:szCs w:val="22"/>
          <w:lang w:eastAsia="en-GB"/>
        </w:rPr>
        <w:fldChar w:fldCharType="separate"/>
      </w:r>
      <w:r w:rsidR="00947DF1">
        <w:rPr>
          <w:rFonts w:ascii="Calibri" w:eastAsia="Times New Roman" w:hAnsi="Calibri" w:cs="Times New Roman"/>
          <w:bCs w:val="0"/>
          <w:noProof/>
          <w:color w:val="000000"/>
          <w:sz w:val="22"/>
          <w:szCs w:val="22"/>
          <w:lang w:eastAsia="en-GB"/>
        </w:rPr>
        <w:t>7</w:t>
      </w:r>
      <w:r w:rsidRPr="00BB23A5">
        <w:rPr>
          <w:rFonts w:ascii="Calibri" w:eastAsia="Times New Roman" w:hAnsi="Calibri" w:cs="Times New Roman"/>
          <w:bCs w:val="0"/>
          <w:color w:val="000000"/>
          <w:sz w:val="22"/>
          <w:szCs w:val="22"/>
          <w:lang w:eastAsia="en-GB"/>
        </w:rPr>
        <w:fldChar w:fldCharType="end"/>
      </w:r>
      <w:r w:rsidRPr="00BB23A5">
        <w:rPr>
          <w:rFonts w:ascii="Calibri" w:eastAsia="Times New Roman" w:hAnsi="Calibri" w:cs="Times New Roman"/>
          <w:bCs w:val="0"/>
          <w:color w:val="000000"/>
          <w:sz w:val="22"/>
          <w:szCs w:val="22"/>
          <w:lang w:eastAsia="en-GB"/>
        </w:rPr>
        <w:t>:</w:t>
      </w:r>
      <w:r w:rsidRPr="00BB23A5">
        <w:rPr>
          <w:rFonts w:ascii="Calibri" w:eastAsia="Times New Roman" w:hAnsi="Calibri" w:cs="Times New Roman"/>
          <w:b w:val="0"/>
          <w:bCs w:val="0"/>
          <w:color w:val="000000"/>
          <w:sz w:val="22"/>
          <w:szCs w:val="22"/>
          <w:lang w:eastAsia="en-GB"/>
        </w:rPr>
        <w:t xml:space="preserve"> Baseline model output NO</w:t>
      </w:r>
      <w:r w:rsidRPr="00BB23A5">
        <w:rPr>
          <w:rFonts w:ascii="Calibri" w:eastAsia="Times New Roman" w:hAnsi="Calibri" w:cs="Times New Roman"/>
          <w:b w:val="0"/>
          <w:bCs w:val="0"/>
          <w:color w:val="000000"/>
          <w:sz w:val="22"/>
          <w:szCs w:val="22"/>
          <w:vertAlign w:val="subscript"/>
          <w:lang w:eastAsia="en-GB"/>
        </w:rPr>
        <w:t>2</w:t>
      </w:r>
      <w:r w:rsidRPr="00BB23A5">
        <w:rPr>
          <w:rFonts w:ascii="Calibri" w:eastAsia="Times New Roman" w:hAnsi="Calibri" w:cs="Times New Roman"/>
          <w:b w:val="0"/>
          <w:bCs w:val="0"/>
          <w:color w:val="000000"/>
          <w:sz w:val="22"/>
          <w:szCs w:val="22"/>
          <w:lang w:eastAsia="en-GB"/>
        </w:rPr>
        <w:t xml:space="preserve"> Midhurst locations</w:t>
      </w:r>
      <w:r w:rsidR="00947DF1">
        <w:rPr>
          <w:rFonts w:ascii="Calibri" w:eastAsia="Times New Roman" w:hAnsi="Calibri" w:cs="Times New Roman"/>
          <w:b w:val="0"/>
          <w:bCs w:val="0"/>
          <w:color w:val="000000"/>
          <w:sz w:val="22"/>
          <w:szCs w:val="22"/>
          <w:lang w:eastAsia="en-GB"/>
        </w:rPr>
        <w:t>:</w:t>
      </w:r>
    </w:p>
    <w:tbl>
      <w:tblPr>
        <w:tblW w:w="7765" w:type="dxa"/>
        <w:tblInd w:w="93" w:type="dxa"/>
        <w:tblLook w:val="04A0" w:firstRow="1" w:lastRow="0" w:firstColumn="1" w:lastColumn="0" w:noHBand="0" w:noVBand="1"/>
      </w:tblPr>
      <w:tblGrid>
        <w:gridCol w:w="1045"/>
        <w:gridCol w:w="960"/>
        <w:gridCol w:w="960"/>
        <w:gridCol w:w="960"/>
        <w:gridCol w:w="960"/>
        <w:gridCol w:w="960"/>
        <w:gridCol w:w="960"/>
        <w:gridCol w:w="960"/>
      </w:tblGrid>
      <w:tr w:rsidR="00A25434" w:rsidRPr="00A25434" w14:paraId="3CB812C7" w14:textId="77777777" w:rsidTr="00A25434">
        <w:trPr>
          <w:trHeight w:val="300"/>
        </w:trPr>
        <w:tc>
          <w:tcPr>
            <w:tcW w:w="1045" w:type="dxa"/>
            <w:tcBorders>
              <w:top w:val="nil"/>
              <w:left w:val="nil"/>
              <w:bottom w:val="nil"/>
              <w:right w:val="nil"/>
            </w:tcBorders>
            <w:shd w:val="clear" w:color="auto" w:fill="auto"/>
            <w:noWrap/>
            <w:vAlign w:val="bottom"/>
            <w:hideMark/>
          </w:tcPr>
          <w:p w14:paraId="6F53E9D1" w14:textId="77777777" w:rsidR="00A25434" w:rsidRPr="00A25434" w:rsidRDefault="00A25434" w:rsidP="00A25434">
            <w:pPr>
              <w:spacing w:after="0" w:line="240" w:lineRule="auto"/>
              <w:rPr>
                <w:rFonts w:ascii="Calibri" w:eastAsia="Times New Roman" w:hAnsi="Calibri" w:cs="Times New Roman"/>
                <w:color w:val="000000"/>
                <w:lang w:eastAsia="en-GB"/>
              </w:rPr>
            </w:pPr>
          </w:p>
        </w:tc>
        <w:tc>
          <w:tcPr>
            <w:tcW w:w="672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DD8F0" w14:textId="77777777" w:rsidR="00A25434" w:rsidRPr="00A25434" w:rsidRDefault="00A25434" w:rsidP="00A25434">
            <w:pPr>
              <w:spacing w:after="0" w:line="240" w:lineRule="auto"/>
              <w:jc w:val="center"/>
              <w:rPr>
                <w:rFonts w:ascii="Calibri" w:eastAsia="Times New Roman" w:hAnsi="Calibri" w:cs="Times New Roman"/>
                <w:b/>
                <w:bCs/>
                <w:color w:val="000000"/>
                <w:lang w:eastAsia="en-GB"/>
              </w:rPr>
            </w:pPr>
            <w:r w:rsidRPr="00A25434">
              <w:rPr>
                <w:rFonts w:ascii="Calibri" w:eastAsia="Times New Roman" w:hAnsi="Calibri" w:cs="Times New Roman"/>
                <w:b/>
                <w:bCs/>
                <w:color w:val="000000"/>
                <w:lang w:eastAsia="en-GB"/>
              </w:rPr>
              <w:t>Midhurst</w:t>
            </w:r>
          </w:p>
        </w:tc>
      </w:tr>
      <w:tr w:rsidR="00A25434" w:rsidRPr="00A25434" w14:paraId="317E1A4C" w14:textId="77777777" w:rsidTr="00A25434">
        <w:trPr>
          <w:trHeight w:val="375"/>
        </w:trPr>
        <w:tc>
          <w:tcPr>
            <w:tcW w:w="1045" w:type="dxa"/>
            <w:tcBorders>
              <w:top w:val="nil"/>
              <w:left w:val="nil"/>
              <w:bottom w:val="nil"/>
              <w:right w:val="nil"/>
            </w:tcBorders>
            <w:shd w:val="clear" w:color="auto" w:fill="auto"/>
            <w:noWrap/>
            <w:vAlign w:val="bottom"/>
            <w:hideMark/>
          </w:tcPr>
          <w:p w14:paraId="7CB540D8" w14:textId="77777777" w:rsidR="00A25434" w:rsidRPr="00A25434" w:rsidRDefault="00A25434" w:rsidP="00A25434">
            <w:pPr>
              <w:spacing w:after="0" w:line="240" w:lineRule="auto"/>
              <w:rPr>
                <w:rFonts w:ascii="Calibri" w:eastAsia="Times New Roman" w:hAnsi="Calibri" w:cs="Times New Roman"/>
                <w:color w:val="000000"/>
                <w:lang w:eastAsia="en-GB"/>
              </w:rPr>
            </w:pPr>
          </w:p>
        </w:tc>
        <w:tc>
          <w:tcPr>
            <w:tcW w:w="6720"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5A0FE" w14:textId="77777777" w:rsidR="00A25434" w:rsidRPr="00A25434" w:rsidRDefault="00A25434" w:rsidP="00A25434">
            <w:pPr>
              <w:spacing w:after="0" w:line="240" w:lineRule="auto"/>
              <w:jc w:val="center"/>
              <w:rPr>
                <w:rFonts w:ascii="Calibri" w:eastAsia="Times New Roman" w:hAnsi="Calibri" w:cs="Times New Roman"/>
                <w:b/>
                <w:bCs/>
                <w:color w:val="000000"/>
                <w:lang w:eastAsia="en-GB"/>
              </w:rPr>
            </w:pPr>
            <w:r w:rsidRPr="00A25434">
              <w:rPr>
                <w:rFonts w:ascii="Calibri" w:eastAsia="Times New Roman" w:hAnsi="Calibri" w:cs="Times New Roman"/>
                <w:b/>
                <w:bCs/>
                <w:color w:val="000000"/>
                <w:lang w:eastAsia="en-GB"/>
              </w:rPr>
              <w:t>NO</w:t>
            </w:r>
            <w:r w:rsidRPr="00A25434">
              <w:rPr>
                <w:rFonts w:ascii="Calibri" w:eastAsia="Times New Roman" w:hAnsi="Calibri" w:cs="Times New Roman"/>
                <w:b/>
                <w:bCs/>
                <w:color w:val="000000"/>
                <w:vertAlign w:val="subscript"/>
                <w:lang w:eastAsia="en-GB"/>
              </w:rPr>
              <w:t>2</w:t>
            </w:r>
            <w:r w:rsidRPr="00A25434">
              <w:rPr>
                <w:rFonts w:ascii="Calibri" w:eastAsia="Times New Roman" w:hAnsi="Calibri" w:cs="Times New Roman"/>
                <w:b/>
                <w:bCs/>
                <w:color w:val="000000"/>
                <w:lang w:eastAsia="en-GB"/>
              </w:rPr>
              <w:t xml:space="preserve"> concentration - annual mean (µgm</w:t>
            </w:r>
            <w:r w:rsidRPr="00A25434">
              <w:rPr>
                <w:rFonts w:ascii="Calibri" w:eastAsia="Times New Roman" w:hAnsi="Calibri" w:cs="Times New Roman"/>
                <w:b/>
                <w:bCs/>
                <w:color w:val="000000"/>
                <w:vertAlign w:val="superscript"/>
                <w:lang w:eastAsia="en-GB"/>
              </w:rPr>
              <w:t>-3</w:t>
            </w:r>
            <w:r w:rsidRPr="00A25434">
              <w:rPr>
                <w:rFonts w:ascii="Calibri" w:eastAsia="Times New Roman" w:hAnsi="Calibri" w:cs="Times New Roman"/>
                <w:b/>
                <w:bCs/>
                <w:color w:val="000000"/>
                <w:lang w:eastAsia="en-GB"/>
              </w:rPr>
              <w:t>)</w:t>
            </w:r>
          </w:p>
        </w:tc>
      </w:tr>
      <w:tr w:rsidR="00A25434" w:rsidRPr="00A25434" w14:paraId="6A1E0386" w14:textId="77777777" w:rsidTr="00A25434">
        <w:trPr>
          <w:trHeight w:val="600"/>
        </w:trPr>
        <w:tc>
          <w:tcPr>
            <w:tcW w:w="10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C3B046" w14:textId="77777777" w:rsidR="00A25434" w:rsidRPr="00A25434" w:rsidRDefault="00A25434" w:rsidP="00A25434">
            <w:pPr>
              <w:spacing w:after="0" w:line="240" w:lineRule="auto"/>
              <w:rPr>
                <w:rFonts w:ascii="Calibri" w:eastAsia="Times New Roman" w:hAnsi="Calibri" w:cs="Times New Roman"/>
                <w:b/>
                <w:bCs/>
                <w:color w:val="000000"/>
                <w:lang w:eastAsia="en-GB"/>
              </w:rPr>
            </w:pPr>
            <w:r w:rsidRPr="00A25434">
              <w:rPr>
                <w:rFonts w:ascii="Calibri" w:eastAsia="Times New Roman" w:hAnsi="Calibri" w:cs="Times New Roman"/>
                <w:b/>
                <w:bCs/>
                <w:color w:val="000000"/>
                <w:lang w:eastAsia="en-GB"/>
              </w:rPr>
              <w:t>Receptor location:</w:t>
            </w:r>
          </w:p>
        </w:tc>
        <w:tc>
          <w:tcPr>
            <w:tcW w:w="960" w:type="dxa"/>
            <w:tcBorders>
              <w:top w:val="nil"/>
              <w:left w:val="nil"/>
              <w:bottom w:val="single" w:sz="4" w:space="0" w:color="auto"/>
              <w:right w:val="single" w:sz="4" w:space="0" w:color="auto"/>
            </w:tcBorders>
            <w:shd w:val="clear" w:color="auto" w:fill="auto"/>
            <w:noWrap/>
            <w:vAlign w:val="bottom"/>
            <w:hideMark/>
          </w:tcPr>
          <w:p w14:paraId="674E3F06" w14:textId="77777777" w:rsidR="00A25434" w:rsidRPr="00A25434" w:rsidRDefault="00A25434" w:rsidP="00A25434">
            <w:pPr>
              <w:spacing w:after="0" w:line="240" w:lineRule="auto"/>
              <w:jc w:val="center"/>
              <w:rPr>
                <w:rFonts w:ascii="Calibri" w:eastAsia="Times New Roman" w:hAnsi="Calibri" w:cs="Times New Roman"/>
                <w:b/>
                <w:bCs/>
                <w:color w:val="000000"/>
                <w:lang w:eastAsia="en-GB"/>
              </w:rPr>
            </w:pPr>
            <w:r w:rsidRPr="00A25434">
              <w:rPr>
                <w:rFonts w:ascii="Calibri" w:eastAsia="Times New Roman" w:hAnsi="Calibri" w:cs="Times New Roman"/>
                <w:b/>
                <w:bCs/>
                <w:color w:val="000000"/>
                <w:lang w:eastAsia="en-GB"/>
              </w:rPr>
              <w:t>2018</w:t>
            </w:r>
          </w:p>
        </w:tc>
        <w:tc>
          <w:tcPr>
            <w:tcW w:w="960" w:type="dxa"/>
            <w:tcBorders>
              <w:top w:val="nil"/>
              <w:left w:val="nil"/>
              <w:bottom w:val="single" w:sz="4" w:space="0" w:color="auto"/>
              <w:right w:val="single" w:sz="4" w:space="0" w:color="auto"/>
            </w:tcBorders>
            <w:shd w:val="clear" w:color="auto" w:fill="auto"/>
            <w:noWrap/>
            <w:vAlign w:val="bottom"/>
            <w:hideMark/>
          </w:tcPr>
          <w:p w14:paraId="3FD4C1F7" w14:textId="77777777" w:rsidR="00A25434" w:rsidRPr="00A25434" w:rsidRDefault="00A25434" w:rsidP="00A25434">
            <w:pPr>
              <w:spacing w:after="0" w:line="240" w:lineRule="auto"/>
              <w:jc w:val="center"/>
              <w:rPr>
                <w:rFonts w:ascii="Calibri" w:eastAsia="Times New Roman" w:hAnsi="Calibri" w:cs="Times New Roman"/>
                <w:b/>
                <w:bCs/>
                <w:color w:val="000000"/>
                <w:lang w:eastAsia="en-GB"/>
              </w:rPr>
            </w:pPr>
            <w:r w:rsidRPr="00A25434">
              <w:rPr>
                <w:rFonts w:ascii="Calibri" w:eastAsia="Times New Roman" w:hAnsi="Calibri" w:cs="Times New Roman"/>
                <w:b/>
                <w:bCs/>
                <w:color w:val="000000"/>
                <w:lang w:eastAsia="en-GB"/>
              </w:rPr>
              <w:t>2020</w:t>
            </w:r>
          </w:p>
        </w:tc>
        <w:tc>
          <w:tcPr>
            <w:tcW w:w="960" w:type="dxa"/>
            <w:tcBorders>
              <w:top w:val="nil"/>
              <w:left w:val="nil"/>
              <w:bottom w:val="single" w:sz="4" w:space="0" w:color="auto"/>
              <w:right w:val="single" w:sz="4" w:space="0" w:color="auto"/>
            </w:tcBorders>
            <w:shd w:val="clear" w:color="auto" w:fill="auto"/>
            <w:noWrap/>
            <w:vAlign w:val="bottom"/>
            <w:hideMark/>
          </w:tcPr>
          <w:p w14:paraId="6021F313" w14:textId="77777777" w:rsidR="00A25434" w:rsidRPr="00A25434" w:rsidRDefault="00A25434" w:rsidP="00A25434">
            <w:pPr>
              <w:spacing w:after="0" w:line="240" w:lineRule="auto"/>
              <w:jc w:val="center"/>
              <w:rPr>
                <w:rFonts w:ascii="Calibri" w:eastAsia="Times New Roman" w:hAnsi="Calibri" w:cs="Times New Roman"/>
                <w:b/>
                <w:bCs/>
                <w:color w:val="000000"/>
                <w:lang w:eastAsia="en-GB"/>
              </w:rPr>
            </w:pPr>
            <w:r w:rsidRPr="00A25434">
              <w:rPr>
                <w:rFonts w:ascii="Calibri" w:eastAsia="Times New Roman" w:hAnsi="Calibri" w:cs="Times New Roman"/>
                <w:b/>
                <w:bCs/>
                <w:color w:val="000000"/>
                <w:lang w:eastAsia="en-GB"/>
              </w:rPr>
              <w:t>2021</w:t>
            </w:r>
          </w:p>
        </w:tc>
        <w:tc>
          <w:tcPr>
            <w:tcW w:w="960" w:type="dxa"/>
            <w:tcBorders>
              <w:top w:val="nil"/>
              <w:left w:val="nil"/>
              <w:bottom w:val="single" w:sz="4" w:space="0" w:color="auto"/>
              <w:right w:val="single" w:sz="4" w:space="0" w:color="auto"/>
            </w:tcBorders>
            <w:shd w:val="clear" w:color="auto" w:fill="auto"/>
            <w:noWrap/>
            <w:vAlign w:val="bottom"/>
            <w:hideMark/>
          </w:tcPr>
          <w:p w14:paraId="117711A6" w14:textId="77777777" w:rsidR="00A25434" w:rsidRPr="00A25434" w:rsidRDefault="00A25434" w:rsidP="00A25434">
            <w:pPr>
              <w:spacing w:after="0" w:line="240" w:lineRule="auto"/>
              <w:jc w:val="center"/>
              <w:rPr>
                <w:rFonts w:ascii="Calibri" w:eastAsia="Times New Roman" w:hAnsi="Calibri" w:cs="Times New Roman"/>
                <w:b/>
                <w:bCs/>
                <w:color w:val="000000"/>
                <w:lang w:eastAsia="en-GB"/>
              </w:rPr>
            </w:pPr>
            <w:r w:rsidRPr="00A25434">
              <w:rPr>
                <w:rFonts w:ascii="Calibri" w:eastAsia="Times New Roman" w:hAnsi="Calibri" w:cs="Times New Roman"/>
                <w:b/>
                <w:bCs/>
                <w:color w:val="000000"/>
                <w:lang w:eastAsia="en-GB"/>
              </w:rPr>
              <w:t>2022</w:t>
            </w:r>
          </w:p>
        </w:tc>
        <w:tc>
          <w:tcPr>
            <w:tcW w:w="960" w:type="dxa"/>
            <w:tcBorders>
              <w:top w:val="nil"/>
              <w:left w:val="nil"/>
              <w:bottom w:val="single" w:sz="4" w:space="0" w:color="auto"/>
              <w:right w:val="single" w:sz="4" w:space="0" w:color="auto"/>
            </w:tcBorders>
            <w:shd w:val="clear" w:color="auto" w:fill="auto"/>
            <w:noWrap/>
            <w:vAlign w:val="bottom"/>
            <w:hideMark/>
          </w:tcPr>
          <w:p w14:paraId="1FECB671" w14:textId="77777777" w:rsidR="00A25434" w:rsidRPr="00A25434" w:rsidRDefault="00A25434" w:rsidP="00A25434">
            <w:pPr>
              <w:spacing w:after="0" w:line="240" w:lineRule="auto"/>
              <w:jc w:val="center"/>
              <w:rPr>
                <w:rFonts w:ascii="Calibri" w:eastAsia="Times New Roman" w:hAnsi="Calibri" w:cs="Times New Roman"/>
                <w:b/>
                <w:bCs/>
                <w:color w:val="000000"/>
                <w:lang w:eastAsia="en-GB"/>
              </w:rPr>
            </w:pPr>
            <w:r w:rsidRPr="00A25434">
              <w:rPr>
                <w:rFonts w:ascii="Calibri" w:eastAsia="Times New Roman" w:hAnsi="Calibri" w:cs="Times New Roman"/>
                <w:b/>
                <w:bCs/>
                <w:color w:val="000000"/>
                <w:lang w:eastAsia="en-GB"/>
              </w:rPr>
              <w:t>2023</w:t>
            </w:r>
          </w:p>
        </w:tc>
        <w:tc>
          <w:tcPr>
            <w:tcW w:w="960" w:type="dxa"/>
            <w:tcBorders>
              <w:top w:val="nil"/>
              <w:left w:val="nil"/>
              <w:bottom w:val="single" w:sz="4" w:space="0" w:color="auto"/>
              <w:right w:val="single" w:sz="4" w:space="0" w:color="auto"/>
            </w:tcBorders>
            <w:shd w:val="clear" w:color="auto" w:fill="auto"/>
            <w:noWrap/>
            <w:vAlign w:val="bottom"/>
            <w:hideMark/>
          </w:tcPr>
          <w:p w14:paraId="571FDC2D" w14:textId="77777777" w:rsidR="00A25434" w:rsidRPr="00A25434" w:rsidRDefault="00A25434" w:rsidP="00A25434">
            <w:pPr>
              <w:spacing w:after="0" w:line="240" w:lineRule="auto"/>
              <w:jc w:val="center"/>
              <w:rPr>
                <w:rFonts w:ascii="Calibri" w:eastAsia="Times New Roman" w:hAnsi="Calibri" w:cs="Times New Roman"/>
                <w:b/>
                <w:bCs/>
                <w:color w:val="000000"/>
                <w:lang w:eastAsia="en-GB"/>
              </w:rPr>
            </w:pPr>
            <w:r w:rsidRPr="00A25434">
              <w:rPr>
                <w:rFonts w:ascii="Calibri" w:eastAsia="Times New Roman" w:hAnsi="Calibri" w:cs="Times New Roman"/>
                <w:b/>
                <w:bCs/>
                <w:color w:val="000000"/>
                <w:lang w:eastAsia="en-GB"/>
              </w:rPr>
              <w:t>2024</w:t>
            </w:r>
          </w:p>
        </w:tc>
        <w:tc>
          <w:tcPr>
            <w:tcW w:w="960" w:type="dxa"/>
            <w:tcBorders>
              <w:top w:val="nil"/>
              <w:left w:val="nil"/>
              <w:bottom w:val="single" w:sz="4" w:space="0" w:color="auto"/>
              <w:right w:val="single" w:sz="4" w:space="0" w:color="auto"/>
            </w:tcBorders>
            <w:shd w:val="clear" w:color="auto" w:fill="auto"/>
            <w:noWrap/>
            <w:vAlign w:val="bottom"/>
            <w:hideMark/>
          </w:tcPr>
          <w:p w14:paraId="7C4E7CFD" w14:textId="77777777" w:rsidR="00A25434" w:rsidRPr="00A25434" w:rsidRDefault="00A25434" w:rsidP="00A25434">
            <w:pPr>
              <w:spacing w:after="0" w:line="240" w:lineRule="auto"/>
              <w:jc w:val="center"/>
              <w:rPr>
                <w:rFonts w:ascii="Calibri" w:eastAsia="Times New Roman" w:hAnsi="Calibri" w:cs="Times New Roman"/>
                <w:b/>
                <w:bCs/>
                <w:color w:val="000000"/>
                <w:lang w:eastAsia="en-GB"/>
              </w:rPr>
            </w:pPr>
            <w:r w:rsidRPr="00A25434">
              <w:rPr>
                <w:rFonts w:ascii="Calibri" w:eastAsia="Times New Roman" w:hAnsi="Calibri" w:cs="Times New Roman"/>
                <w:b/>
                <w:bCs/>
                <w:color w:val="000000"/>
                <w:lang w:eastAsia="en-GB"/>
              </w:rPr>
              <w:t>2025</w:t>
            </w:r>
          </w:p>
        </w:tc>
      </w:tr>
      <w:tr w:rsidR="00A25434" w:rsidRPr="00A25434" w14:paraId="06D93143" w14:textId="77777777" w:rsidTr="00A25434">
        <w:trPr>
          <w:trHeight w:val="300"/>
        </w:trPr>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1C7A1136" w14:textId="77777777" w:rsidR="00A25434" w:rsidRPr="00A25434" w:rsidRDefault="00A25434" w:rsidP="00A25434">
            <w:pPr>
              <w:spacing w:after="0" w:line="240" w:lineRule="auto"/>
              <w:jc w:val="center"/>
              <w:rPr>
                <w:rFonts w:ascii="Calibri" w:eastAsia="Times New Roman" w:hAnsi="Calibri" w:cs="Times New Roman"/>
                <w:b/>
                <w:bCs/>
                <w:color w:val="000000"/>
                <w:lang w:eastAsia="en-GB"/>
              </w:rPr>
            </w:pPr>
            <w:r w:rsidRPr="00A25434">
              <w:rPr>
                <w:rFonts w:ascii="Calibri" w:eastAsia="Times New Roman" w:hAnsi="Calibri" w:cs="Times New Roman"/>
                <w:b/>
                <w:bCs/>
                <w:color w:val="000000"/>
                <w:lang w:eastAsia="en-GB"/>
              </w:rPr>
              <w:t>14</w:t>
            </w:r>
          </w:p>
        </w:tc>
        <w:tc>
          <w:tcPr>
            <w:tcW w:w="960" w:type="dxa"/>
            <w:tcBorders>
              <w:top w:val="nil"/>
              <w:left w:val="nil"/>
              <w:bottom w:val="single" w:sz="4" w:space="0" w:color="auto"/>
              <w:right w:val="single" w:sz="4" w:space="0" w:color="auto"/>
            </w:tcBorders>
            <w:shd w:val="clear" w:color="auto" w:fill="auto"/>
            <w:noWrap/>
            <w:vAlign w:val="bottom"/>
            <w:hideMark/>
          </w:tcPr>
          <w:p w14:paraId="11F2FCD1"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39.9</w:t>
            </w:r>
          </w:p>
        </w:tc>
        <w:tc>
          <w:tcPr>
            <w:tcW w:w="960" w:type="dxa"/>
            <w:tcBorders>
              <w:top w:val="nil"/>
              <w:left w:val="nil"/>
              <w:bottom w:val="single" w:sz="4" w:space="0" w:color="auto"/>
              <w:right w:val="single" w:sz="4" w:space="0" w:color="auto"/>
            </w:tcBorders>
            <w:shd w:val="clear" w:color="auto" w:fill="auto"/>
            <w:noWrap/>
            <w:vAlign w:val="bottom"/>
            <w:hideMark/>
          </w:tcPr>
          <w:p w14:paraId="31D99A3F"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36.9</w:t>
            </w:r>
          </w:p>
        </w:tc>
        <w:tc>
          <w:tcPr>
            <w:tcW w:w="960" w:type="dxa"/>
            <w:tcBorders>
              <w:top w:val="nil"/>
              <w:left w:val="nil"/>
              <w:bottom w:val="single" w:sz="4" w:space="0" w:color="auto"/>
              <w:right w:val="single" w:sz="4" w:space="0" w:color="auto"/>
            </w:tcBorders>
            <w:shd w:val="clear" w:color="auto" w:fill="auto"/>
            <w:noWrap/>
            <w:vAlign w:val="bottom"/>
            <w:hideMark/>
          </w:tcPr>
          <w:p w14:paraId="03FF1ED5"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35.4</w:t>
            </w:r>
          </w:p>
        </w:tc>
        <w:tc>
          <w:tcPr>
            <w:tcW w:w="960" w:type="dxa"/>
            <w:tcBorders>
              <w:top w:val="nil"/>
              <w:left w:val="nil"/>
              <w:bottom w:val="single" w:sz="4" w:space="0" w:color="auto"/>
              <w:right w:val="single" w:sz="4" w:space="0" w:color="auto"/>
            </w:tcBorders>
            <w:shd w:val="clear" w:color="auto" w:fill="auto"/>
            <w:noWrap/>
            <w:vAlign w:val="bottom"/>
            <w:hideMark/>
          </w:tcPr>
          <w:p w14:paraId="6D4E90D7"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33.8</w:t>
            </w:r>
          </w:p>
        </w:tc>
        <w:tc>
          <w:tcPr>
            <w:tcW w:w="960" w:type="dxa"/>
            <w:tcBorders>
              <w:top w:val="nil"/>
              <w:left w:val="nil"/>
              <w:bottom w:val="single" w:sz="4" w:space="0" w:color="auto"/>
              <w:right w:val="single" w:sz="4" w:space="0" w:color="auto"/>
            </w:tcBorders>
            <w:shd w:val="clear" w:color="auto" w:fill="auto"/>
            <w:noWrap/>
            <w:vAlign w:val="bottom"/>
            <w:hideMark/>
          </w:tcPr>
          <w:p w14:paraId="7A178289"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32.6</w:t>
            </w:r>
          </w:p>
        </w:tc>
        <w:tc>
          <w:tcPr>
            <w:tcW w:w="960" w:type="dxa"/>
            <w:tcBorders>
              <w:top w:val="nil"/>
              <w:left w:val="nil"/>
              <w:bottom w:val="single" w:sz="4" w:space="0" w:color="auto"/>
              <w:right w:val="single" w:sz="4" w:space="0" w:color="auto"/>
            </w:tcBorders>
            <w:shd w:val="clear" w:color="auto" w:fill="auto"/>
            <w:noWrap/>
            <w:vAlign w:val="bottom"/>
            <w:hideMark/>
          </w:tcPr>
          <w:p w14:paraId="72F7BA7A"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31.8</w:t>
            </w:r>
          </w:p>
        </w:tc>
        <w:tc>
          <w:tcPr>
            <w:tcW w:w="960" w:type="dxa"/>
            <w:tcBorders>
              <w:top w:val="nil"/>
              <w:left w:val="nil"/>
              <w:bottom w:val="single" w:sz="4" w:space="0" w:color="auto"/>
              <w:right w:val="single" w:sz="4" w:space="0" w:color="auto"/>
            </w:tcBorders>
            <w:shd w:val="clear" w:color="auto" w:fill="auto"/>
            <w:noWrap/>
            <w:vAlign w:val="bottom"/>
            <w:hideMark/>
          </w:tcPr>
          <w:p w14:paraId="24B9CC23"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29.1</w:t>
            </w:r>
          </w:p>
        </w:tc>
      </w:tr>
      <w:tr w:rsidR="00A25434" w:rsidRPr="00A25434" w14:paraId="1E342919" w14:textId="77777777" w:rsidTr="00A25434">
        <w:trPr>
          <w:trHeight w:val="300"/>
        </w:trPr>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554382F2" w14:textId="77777777" w:rsidR="00A25434" w:rsidRPr="00A25434" w:rsidRDefault="00A25434" w:rsidP="00A25434">
            <w:pPr>
              <w:spacing w:after="0" w:line="240" w:lineRule="auto"/>
              <w:jc w:val="center"/>
              <w:rPr>
                <w:rFonts w:ascii="Calibri" w:eastAsia="Times New Roman" w:hAnsi="Calibri" w:cs="Times New Roman"/>
                <w:b/>
                <w:bCs/>
                <w:color w:val="000000"/>
                <w:lang w:eastAsia="en-GB"/>
              </w:rPr>
            </w:pPr>
            <w:r w:rsidRPr="00A25434">
              <w:rPr>
                <w:rFonts w:ascii="Calibri" w:eastAsia="Times New Roman" w:hAnsi="Calibri" w:cs="Times New Roman"/>
                <w:b/>
                <w:bCs/>
                <w:color w:val="000000"/>
                <w:lang w:eastAsia="en-GB"/>
              </w:rPr>
              <w:t>18</w:t>
            </w:r>
          </w:p>
        </w:tc>
        <w:tc>
          <w:tcPr>
            <w:tcW w:w="960" w:type="dxa"/>
            <w:tcBorders>
              <w:top w:val="nil"/>
              <w:left w:val="nil"/>
              <w:bottom w:val="single" w:sz="4" w:space="0" w:color="auto"/>
              <w:right w:val="single" w:sz="4" w:space="0" w:color="auto"/>
            </w:tcBorders>
            <w:shd w:val="clear" w:color="auto" w:fill="auto"/>
            <w:noWrap/>
            <w:vAlign w:val="bottom"/>
            <w:hideMark/>
          </w:tcPr>
          <w:p w14:paraId="1A03732E"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36.2</w:t>
            </w:r>
          </w:p>
        </w:tc>
        <w:tc>
          <w:tcPr>
            <w:tcW w:w="960" w:type="dxa"/>
            <w:tcBorders>
              <w:top w:val="nil"/>
              <w:left w:val="nil"/>
              <w:bottom w:val="single" w:sz="4" w:space="0" w:color="auto"/>
              <w:right w:val="single" w:sz="4" w:space="0" w:color="auto"/>
            </w:tcBorders>
            <w:shd w:val="clear" w:color="auto" w:fill="auto"/>
            <w:noWrap/>
            <w:vAlign w:val="bottom"/>
            <w:hideMark/>
          </w:tcPr>
          <w:p w14:paraId="11666974"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33.6</w:t>
            </w:r>
          </w:p>
        </w:tc>
        <w:tc>
          <w:tcPr>
            <w:tcW w:w="960" w:type="dxa"/>
            <w:tcBorders>
              <w:top w:val="nil"/>
              <w:left w:val="nil"/>
              <w:bottom w:val="single" w:sz="4" w:space="0" w:color="auto"/>
              <w:right w:val="single" w:sz="4" w:space="0" w:color="auto"/>
            </w:tcBorders>
            <w:shd w:val="clear" w:color="auto" w:fill="auto"/>
            <w:noWrap/>
            <w:vAlign w:val="bottom"/>
            <w:hideMark/>
          </w:tcPr>
          <w:p w14:paraId="20E85465"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32.2</w:t>
            </w:r>
          </w:p>
        </w:tc>
        <w:tc>
          <w:tcPr>
            <w:tcW w:w="960" w:type="dxa"/>
            <w:tcBorders>
              <w:top w:val="nil"/>
              <w:left w:val="nil"/>
              <w:bottom w:val="single" w:sz="4" w:space="0" w:color="auto"/>
              <w:right w:val="single" w:sz="4" w:space="0" w:color="auto"/>
            </w:tcBorders>
            <w:shd w:val="clear" w:color="auto" w:fill="auto"/>
            <w:noWrap/>
            <w:vAlign w:val="bottom"/>
            <w:hideMark/>
          </w:tcPr>
          <w:p w14:paraId="0BFA6496"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30.8</w:t>
            </w:r>
          </w:p>
        </w:tc>
        <w:tc>
          <w:tcPr>
            <w:tcW w:w="960" w:type="dxa"/>
            <w:tcBorders>
              <w:top w:val="nil"/>
              <w:left w:val="nil"/>
              <w:bottom w:val="single" w:sz="4" w:space="0" w:color="auto"/>
              <w:right w:val="single" w:sz="4" w:space="0" w:color="auto"/>
            </w:tcBorders>
            <w:shd w:val="clear" w:color="auto" w:fill="auto"/>
            <w:noWrap/>
            <w:vAlign w:val="bottom"/>
            <w:hideMark/>
          </w:tcPr>
          <w:p w14:paraId="1FF18352"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29.6</w:t>
            </w:r>
          </w:p>
        </w:tc>
        <w:tc>
          <w:tcPr>
            <w:tcW w:w="960" w:type="dxa"/>
            <w:tcBorders>
              <w:top w:val="nil"/>
              <w:left w:val="nil"/>
              <w:bottom w:val="single" w:sz="4" w:space="0" w:color="auto"/>
              <w:right w:val="single" w:sz="4" w:space="0" w:color="auto"/>
            </w:tcBorders>
            <w:shd w:val="clear" w:color="auto" w:fill="auto"/>
            <w:noWrap/>
            <w:vAlign w:val="bottom"/>
            <w:hideMark/>
          </w:tcPr>
          <w:p w14:paraId="0F479671"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28.9</w:t>
            </w:r>
          </w:p>
        </w:tc>
        <w:tc>
          <w:tcPr>
            <w:tcW w:w="960" w:type="dxa"/>
            <w:tcBorders>
              <w:top w:val="nil"/>
              <w:left w:val="nil"/>
              <w:bottom w:val="single" w:sz="4" w:space="0" w:color="auto"/>
              <w:right w:val="single" w:sz="4" w:space="0" w:color="auto"/>
            </w:tcBorders>
            <w:shd w:val="clear" w:color="auto" w:fill="auto"/>
            <w:noWrap/>
            <w:vAlign w:val="bottom"/>
            <w:hideMark/>
          </w:tcPr>
          <w:p w14:paraId="486322A0"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26.6</w:t>
            </w:r>
          </w:p>
        </w:tc>
      </w:tr>
      <w:tr w:rsidR="00A25434" w:rsidRPr="00A25434" w14:paraId="433DD395" w14:textId="77777777" w:rsidTr="00A25434">
        <w:trPr>
          <w:trHeight w:val="300"/>
        </w:trPr>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521956CF" w14:textId="77777777" w:rsidR="00A25434" w:rsidRPr="00A25434" w:rsidRDefault="00A25434" w:rsidP="00A25434">
            <w:pPr>
              <w:spacing w:after="0" w:line="240" w:lineRule="auto"/>
              <w:jc w:val="center"/>
              <w:rPr>
                <w:rFonts w:ascii="Calibri" w:eastAsia="Times New Roman" w:hAnsi="Calibri" w:cs="Times New Roman"/>
                <w:b/>
                <w:bCs/>
                <w:color w:val="000000"/>
                <w:lang w:eastAsia="en-GB"/>
              </w:rPr>
            </w:pPr>
            <w:r w:rsidRPr="00A25434">
              <w:rPr>
                <w:rFonts w:ascii="Calibri" w:eastAsia="Times New Roman" w:hAnsi="Calibri" w:cs="Times New Roman"/>
                <w:b/>
                <w:bCs/>
                <w:color w:val="000000"/>
                <w:lang w:eastAsia="en-GB"/>
              </w:rPr>
              <w:t>19</w:t>
            </w:r>
          </w:p>
        </w:tc>
        <w:tc>
          <w:tcPr>
            <w:tcW w:w="960" w:type="dxa"/>
            <w:tcBorders>
              <w:top w:val="nil"/>
              <w:left w:val="nil"/>
              <w:bottom w:val="single" w:sz="4" w:space="0" w:color="auto"/>
              <w:right w:val="single" w:sz="4" w:space="0" w:color="auto"/>
            </w:tcBorders>
            <w:shd w:val="clear" w:color="auto" w:fill="auto"/>
            <w:noWrap/>
            <w:vAlign w:val="bottom"/>
            <w:hideMark/>
          </w:tcPr>
          <w:p w14:paraId="31241BEA"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37.7</w:t>
            </w:r>
          </w:p>
        </w:tc>
        <w:tc>
          <w:tcPr>
            <w:tcW w:w="960" w:type="dxa"/>
            <w:tcBorders>
              <w:top w:val="nil"/>
              <w:left w:val="nil"/>
              <w:bottom w:val="single" w:sz="4" w:space="0" w:color="auto"/>
              <w:right w:val="single" w:sz="4" w:space="0" w:color="auto"/>
            </w:tcBorders>
            <w:shd w:val="clear" w:color="auto" w:fill="auto"/>
            <w:noWrap/>
            <w:vAlign w:val="bottom"/>
            <w:hideMark/>
          </w:tcPr>
          <w:p w14:paraId="514FBC3E"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34.9</w:t>
            </w:r>
          </w:p>
        </w:tc>
        <w:tc>
          <w:tcPr>
            <w:tcW w:w="960" w:type="dxa"/>
            <w:tcBorders>
              <w:top w:val="nil"/>
              <w:left w:val="nil"/>
              <w:bottom w:val="single" w:sz="4" w:space="0" w:color="auto"/>
              <w:right w:val="single" w:sz="4" w:space="0" w:color="auto"/>
            </w:tcBorders>
            <w:shd w:val="clear" w:color="auto" w:fill="auto"/>
            <w:noWrap/>
            <w:vAlign w:val="bottom"/>
            <w:hideMark/>
          </w:tcPr>
          <w:p w14:paraId="7AF5875D"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33.4</w:t>
            </w:r>
          </w:p>
        </w:tc>
        <w:tc>
          <w:tcPr>
            <w:tcW w:w="960" w:type="dxa"/>
            <w:tcBorders>
              <w:top w:val="nil"/>
              <w:left w:val="nil"/>
              <w:bottom w:val="single" w:sz="4" w:space="0" w:color="auto"/>
              <w:right w:val="single" w:sz="4" w:space="0" w:color="auto"/>
            </w:tcBorders>
            <w:shd w:val="clear" w:color="auto" w:fill="auto"/>
            <w:noWrap/>
            <w:vAlign w:val="bottom"/>
            <w:hideMark/>
          </w:tcPr>
          <w:p w14:paraId="3856E9C1"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32.0</w:t>
            </w:r>
          </w:p>
        </w:tc>
        <w:tc>
          <w:tcPr>
            <w:tcW w:w="960" w:type="dxa"/>
            <w:tcBorders>
              <w:top w:val="nil"/>
              <w:left w:val="nil"/>
              <w:bottom w:val="single" w:sz="4" w:space="0" w:color="auto"/>
              <w:right w:val="single" w:sz="4" w:space="0" w:color="auto"/>
            </w:tcBorders>
            <w:shd w:val="clear" w:color="auto" w:fill="auto"/>
            <w:noWrap/>
            <w:vAlign w:val="bottom"/>
            <w:hideMark/>
          </w:tcPr>
          <w:p w14:paraId="79526B66"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30.9</w:t>
            </w:r>
          </w:p>
        </w:tc>
        <w:tc>
          <w:tcPr>
            <w:tcW w:w="960" w:type="dxa"/>
            <w:tcBorders>
              <w:top w:val="nil"/>
              <w:left w:val="nil"/>
              <w:bottom w:val="single" w:sz="4" w:space="0" w:color="auto"/>
              <w:right w:val="single" w:sz="4" w:space="0" w:color="auto"/>
            </w:tcBorders>
            <w:shd w:val="clear" w:color="auto" w:fill="auto"/>
            <w:noWrap/>
            <w:vAlign w:val="bottom"/>
            <w:hideMark/>
          </w:tcPr>
          <w:p w14:paraId="69EF2389"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30.1</w:t>
            </w:r>
          </w:p>
        </w:tc>
        <w:tc>
          <w:tcPr>
            <w:tcW w:w="960" w:type="dxa"/>
            <w:tcBorders>
              <w:top w:val="nil"/>
              <w:left w:val="nil"/>
              <w:bottom w:val="single" w:sz="4" w:space="0" w:color="auto"/>
              <w:right w:val="single" w:sz="4" w:space="0" w:color="auto"/>
            </w:tcBorders>
            <w:shd w:val="clear" w:color="auto" w:fill="auto"/>
            <w:noWrap/>
            <w:vAlign w:val="bottom"/>
            <w:hideMark/>
          </w:tcPr>
          <w:p w14:paraId="163325CC"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27.6</w:t>
            </w:r>
          </w:p>
        </w:tc>
      </w:tr>
      <w:tr w:rsidR="00A25434" w:rsidRPr="00A25434" w14:paraId="0BE1A7E8" w14:textId="77777777" w:rsidTr="00A25434">
        <w:trPr>
          <w:trHeight w:val="300"/>
        </w:trPr>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35EAD81E" w14:textId="77777777" w:rsidR="00A25434" w:rsidRPr="00A25434" w:rsidRDefault="00A25434" w:rsidP="00A25434">
            <w:pPr>
              <w:spacing w:after="0" w:line="240" w:lineRule="auto"/>
              <w:jc w:val="center"/>
              <w:rPr>
                <w:rFonts w:ascii="Calibri" w:eastAsia="Times New Roman" w:hAnsi="Calibri" w:cs="Times New Roman"/>
                <w:b/>
                <w:bCs/>
                <w:color w:val="000000"/>
                <w:lang w:eastAsia="en-GB"/>
              </w:rPr>
            </w:pPr>
            <w:r w:rsidRPr="00A25434">
              <w:rPr>
                <w:rFonts w:ascii="Calibri" w:eastAsia="Times New Roman" w:hAnsi="Calibri" w:cs="Times New Roman"/>
                <w:b/>
                <w:bCs/>
                <w:color w:val="000000"/>
                <w:lang w:eastAsia="en-GB"/>
              </w:rPr>
              <w:t>20</w:t>
            </w:r>
          </w:p>
        </w:tc>
        <w:tc>
          <w:tcPr>
            <w:tcW w:w="960" w:type="dxa"/>
            <w:tcBorders>
              <w:top w:val="nil"/>
              <w:left w:val="nil"/>
              <w:bottom w:val="single" w:sz="4" w:space="0" w:color="auto"/>
              <w:right w:val="single" w:sz="4" w:space="0" w:color="auto"/>
            </w:tcBorders>
            <w:shd w:val="clear" w:color="auto" w:fill="auto"/>
            <w:noWrap/>
            <w:vAlign w:val="bottom"/>
            <w:hideMark/>
          </w:tcPr>
          <w:p w14:paraId="0D71BA56"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34.7</w:t>
            </w:r>
          </w:p>
        </w:tc>
        <w:tc>
          <w:tcPr>
            <w:tcW w:w="960" w:type="dxa"/>
            <w:tcBorders>
              <w:top w:val="nil"/>
              <w:left w:val="nil"/>
              <w:bottom w:val="single" w:sz="4" w:space="0" w:color="auto"/>
              <w:right w:val="single" w:sz="4" w:space="0" w:color="auto"/>
            </w:tcBorders>
            <w:shd w:val="clear" w:color="auto" w:fill="auto"/>
            <w:noWrap/>
            <w:vAlign w:val="bottom"/>
            <w:hideMark/>
          </w:tcPr>
          <w:p w14:paraId="5F063B00"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32.2</w:t>
            </w:r>
          </w:p>
        </w:tc>
        <w:tc>
          <w:tcPr>
            <w:tcW w:w="960" w:type="dxa"/>
            <w:tcBorders>
              <w:top w:val="nil"/>
              <w:left w:val="nil"/>
              <w:bottom w:val="single" w:sz="4" w:space="0" w:color="auto"/>
              <w:right w:val="single" w:sz="4" w:space="0" w:color="auto"/>
            </w:tcBorders>
            <w:shd w:val="clear" w:color="auto" w:fill="auto"/>
            <w:noWrap/>
            <w:vAlign w:val="bottom"/>
            <w:hideMark/>
          </w:tcPr>
          <w:p w14:paraId="0D124CF7"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30.9</w:t>
            </w:r>
          </w:p>
        </w:tc>
        <w:tc>
          <w:tcPr>
            <w:tcW w:w="960" w:type="dxa"/>
            <w:tcBorders>
              <w:top w:val="nil"/>
              <w:left w:val="nil"/>
              <w:bottom w:val="single" w:sz="4" w:space="0" w:color="auto"/>
              <w:right w:val="single" w:sz="4" w:space="0" w:color="auto"/>
            </w:tcBorders>
            <w:shd w:val="clear" w:color="auto" w:fill="auto"/>
            <w:noWrap/>
            <w:vAlign w:val="bottom"/>
            <w:hideMark/>
          </w:tcPr>
          <w:p w14:paraId="121F4AAB"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29.6</w:t>
            </w:r>
          </w:p>
        </w:tc>
        <w:tc>
          <w:tcPr>
            <w:tcW w:w="960" w:type="dxa"/>
            <w:tcBorders>
              <w:top w:val="nil"/>
              <w:left w:val="nil"/>
              <w:bottom w:val="single" w:sz="4" w:space="0" w:color="auto"/>
              <w:right w:val="single" w:sz="4" w:space="0" w:color="auto"/>
            </w:tcBorders>
            <w:shd w:val="clear" w:color="auto" w:fill="auto"/>
            <w:noWrap/>
            <w:vAlign w:val="bottom"/>
            <w:hideMark/>
          </w:tcPr>
          <w:p w14:paraId="558038AB"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28.5</w:t>
            </w:r>
          </w:p>
        </w:tc>
        <w:tc>
          <w:tcPr>
            <w:tcW w:w="960" w:type="dxa"/>
            <w:tcBorders>
              <w:top w:val="nil"/>
              <w:left w:val="nil"/>
              <w:bottom w:val="single" w:sz="4" w:space="0" w:color="auto"/>
              <w:right w:val="single" w:sz="4" w:space="0" w:color="auto"/>
            </w:tcBorders>
            <w:shd w:val="clear" w:color="auto" w:fill="auto"/>
            <w:noWrap/>
            <w:vAlign w:val="bottom"/>
            <w:hideMark/>
          </w:tcPr>
          <w:p w14:paraId="330ADAF4"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27.8</w:t>
            </w:r>
          </w:p>
        </w:tc>
        <w:tc>
          <w:tcPr>
            <w:tcW w:w="960" w:type="dxa"/>
            <w:tcBorders>
              <w:top w:val="nil"/>
              <w:left w:val="nil"/>
              <w:bottom w:val="single" w:sz="4" w:space="0" w:color="auto"/>
              <w:right w:val="single" w:sz="4" w:space="0" w:color="auto"/>
            </w:tcBorders>
            <w:shd w:val="clear" w:color="auto" w:fill="auto"/>
            <w:noWrap/>
            <w:vAlign w:val="bottom"/>
            <w:hideMark/>
          </w:tcPr>
          <w:p w14:paraId="427E8C85"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25.6</w:t>
            </w:r>
          </w:p>
        </w:tc>
      </w:tr>
      <w:tr w:rsidR="00A25434" w:rsidRPr="00A25434" w14:paraId="047DEC23" w14:textId="77777777" w:rsidTr="00A25434">
        <w:trPr>
          <w:trHeight w:val="300"/>
        </w:trPr>
        <w:tc>
          <w:tcPr>
            <w:tcW w:w="1045" w:type="dxa"/>
            <w:tcBorders>
              <w:top w:val="nil"/>
              <w:left w:val="single" w:sz="4" w:space="0" w:color="auto"/>
              <w:bottom w:val="single" w:sz="4" w:space="0" w:color="auto"/>
              <w:right w:val="single" w:sz="4" w:space="0" w:color="auto"/>
            </w:tcBorders>
            <w:shd w:val="clear" w:color="auto" w:fill="auto"/>
            <w:noWrap/>
            <w:vAlign w:val="bottom"/>
            <w:hideMark/>
          </w:tcPr>
          <w:p w14:paraId="6AF31DBC" w14:textId="77777777" w:rsidR="00A25434" w:rsidRPr="00A25434" w:rsidRDefault="00A25434" w:rsidP="00A25434">
            <w:pPr>
              <w:spacing w:after="0" w:line="240" w:lineRule="auto"/>
              <w:jc w:val="center"/>
              <w:rPr>
                <w:rFonts w:ascii="Calibri" w:eastAsia="Times New Roman" w:hAnsi="Calibri" w:cs="Times New Roman"/>
                <w:b/>
                <w:bCs/>
                <w:color w:val="000000"/>
                <w:lang w:eastAsia="en-GB"/>
              </w:rPr>
            </w:pPr>
            <w:r w:rsidRPr="00A25434">
              <w:rPr>
                <w:rFonts w:ascii="Calibri" w:eastAsia="Times New Roman" w:hAnsi="Calibri" w:cs="Times New Roman"/>
                <w:b/>
                <w:bCs/>
                <w:color w:val="000000"/>
                <w:lang w:eastAsia="en-GB"/>
              </w:rPr>
              <w:t>21</w:t>
            </w:r>
          </w:p>
        </w:tc>
        <w:tc>
          <w:tcPr>
            <w:tcW w:w="960" w:type="dxa"/>
            <w:tcBorders>
              <w:top w:val="nil"/>
              <w:left w:val="nil"/>
              <w:bottom w:val="single" w:sz="4" w:space="0" w:color="auto"/>
              <w:right w:val="single" w:sz="4" w:space="0" w:color="auto"/>
            </w:tcBorders>
            <w:shd w:val="clear" w:color="auto" w:fill="auto"/>
            <w:noWrap/>
            <w:vAlign w:val="bottom"/>
            <w:hideMark/>
          </w:tcPr>
          <w:p w14:paraId="0BC8A6D1"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32.6</w:t>
            </w:r>
          </w:p>
        </w:tc>
        <w:tc>
          <w:tcPr>
            <w:tcW w:w="960" w:type="dxa"/>
            <w:tcBorders>
              <w:top w:val="nil"/>
              <w:left w:val="nil"/>
              <w:bottom w:val="single" w:sz="4" w:space="0" w:color="auto"/>
              <w:right w:val="single" w:sz="4" w:space="0" w:color="auto"/>
            </w:tcBorders>
            <w:shd w:val="clear" w:color="auto" w:fill="auto"/>
            <w:noWrap/>
            <w:vAlign w:val="bottom"/>
            <w:hideMark/>
          </w:tcPr>
          <w:p w14:paraId="2BB45A99"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30.3</w:t>
            </w:r>
          </w:p>
        </w:tc>
        <w:tc>
          <w:tcPr>
            <w:tcW w:w="960" w:type="dxa"/>
            <w:tcBorders>
              <w:top w:val="nil"/>
              <w:left w:val="nil"/>
              <w:bottom w:val="single" w:sz="4" w:space="0" w:color="auto"/>
              <w:right w:val="single" w:sz="4" w:space="0" w:color="auto"/>
            </w:tcBorders>
            <w:shd w:val="clear" w:color="auto" w:fill="auto"/>
            <w:noWrap/>
            <w:vAlign w:val="bottom"/>
            <w:hideMark/>
          </w:tcPr>
          <w:p w14:paraId="41045BAD"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29.1</w:t>
            </w:r>
          </w:p>
        </w:tc>
        <w:tc>
          <w:tcPr>
            <w:tcW w:w="960" w:type="dxa"/>
            <w:tcBorders>
              <w:top w:val="nil"/>
              <w:left w:val="nil"/>
              <w:bottom w:val="single" w:sz="4" w:space="0" w:color="auto"/>
              <w:right w:val="single" w:sz="4" w:space="0" w:color="auto"/>
            </w:tcBorders>
            <w:shd w:val="clear" w:color="auto" w:fill="auto"/>
            <w:noWrap/>
            <w:vAlign w:val="bottom"/>
            <w:hideMark/>
          </w:tcPr>
          <w:p w14:paraId="5F3DC93F"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27.9</w:t>
            </w:r>
          </w:p>
        </w:tc>
        <w:tc>
          <w:tcPr>
            <w:tcW w:w="960" w:type="dxa"/>
            <w:tcBorders>
              <w:top w:val="nil"/>
              <w:left w:val="nil"/>
              <w:bottom w:val="single" w:sz="4" w:space="0" w:color="auto"/>
              <w:right w:val="single" w:sz="4" w:space="0" w:color="auto"/>
            </w:tcBorders>
            <w:shd w:val="clear" w:color="auto" w:fill="auto"/>
            <w:noWrap/>
            <w:vAlign w:val="bottom"/>
            <w:hideMark/>
          </w:tcPr>
          <w:p w14:paraId="605E6813"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26.9</w:t>
            </w:r>
          </w:p>
        </w:tc>
        <w:tc>
          <w:tcPr>
            <w:tcW w:w="960" w:type="dxa"/>
            <w:tcBorders>
              <w:top w:val="nil"/>
              <w:left w:val="nil"/>
              <w:bottom w:val="single" w:sz="4" w:space="0" w:color="auto"/>
              <w:right w:val="single" w:sz="4" w:space="0" w:color="auto"/>
            </w:tcBorders>
            <w:shd w:val="clear" w:color="auto" w:fill="auto"/>
            <w:noWrap/>
            <w:vAlign w:val="bottom"/>
            <w:hideMark/>
          </w:tcPr>
          <w:p w14:paraId="20CB9A37"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26.3</w:t>
            </w:r>
          </w:p>
        </w:tc>
        <w:tc>
          <w:tcPr>
            <w:tcW w:w="960" w:type="dxa"/>
            <w:tcBorders>
              <w:top w:val="nil"/>
              <w:left w:val="nil"/>
              <w:bottom w:val="single" w:sz="4" w:space="0" w:color="auto"/>
              <w:right w:val="single" w:sz="4" w:space="0" w:color="auto"/>
            </w:tcBorders>
            <w:shd w:val="clear" w:color="auto" w:fill="auto"/>
            <w:noWrap/>
            <w:vAlign w:val="bottom"/>
            <w:hideMark/>
          </w:tcPr>
          <w:p w14:paraId="3DE7E661" w14:textId="77777777" w:rsidR="00A25434" w:rsidRPr="00A25434" w:rsidRDefault="00A25434" w:rsidP="00A25434">
            <w:pPr>
              <w:spacing w:after="0" w:line="240" w:lineRule="auto"/>
              <w:jc w:val="center"/>
              <w:rPr>
                <w:rFonts w:ascii="Calibri" w:eastAsia="Times New Roman" w:hAnsi="Calibri" w:cs="Times New Roman"/>
                <w:color w:val="000000"/>
                <w:lang w:eastAsia="en-GB"/>
              </w:rPr>
            </w:pPr>
            <w:r w:rsidRPr="00A25434">
              <w:rPr>
                <w:rFonts w:ascii="Calibri" w:eastAsia="Times New Roman" w:hAnsi="Calibri" w:cs="Times New Roman"/>
                <w:color w:val="000000"/>
                <w:lang w:eastAsia="en-GB"/>
              </w:rPr>
              <w:t>24.2</w:t>
            </w:r>
          </w:p>
        </w:tc>
      </w:tr>
    </w:tbl>
    <w:p w14:paraId="6DD8A678" w14:textId="77777777" w:rsidR="00A25434" w:rsidRDefault="00A25434" w:rsidP="00A25434">
      <w:r>
        <w:t>Note: Exceedances of the Air Quality Standard are shown in bold and those within 10% (&gt;36µgm</w:t>
      </w:r>
      <w:r w:rsidRPr="00A25434">
        <w:rPr>
          <w:vertAlign w:val="superscript"/>
        </w:rPr>
        <w:t>-3</w:t>
      </w:r>
      <w:r>
        <w:t>) are underlined).</w:t>
      </w:r>
    </w:p>
    <w:p w14:paraId="2B774CCB" w14:textId="77777777" w:rsidR="00A25434" w:rsidRDefault="00A25434" w:rsidP="00947DF1">
      <w:pPr>
        <w:spacing w:after="0"/>
      </w:pPr>
      <w:r>
        <w:t>The receptor locations</w:t>
      </w:r>
      <w:r w:rsidR="00AF25F2">
        <w:t xml:space="preserve"> in Tables </w:t>
      </w:r>
      <w:r w:rsidR="00796FE3">
        <w:t>8</w:t>
      </w:r>
      <w:r w:rsidR="00AF25F2">
        <w:t xml:space="preserve"> and </w:t>
      </w:r>
      <w:r w:rsidR="00947DF1">
        <w:t>9</w:t>
      </w:r>
      <w:r w:rsidR="00AF25F2">
        <w:t xml:space="preserve"> above</w:t>
      </w:r>
      <w:r>
        <w:t xml:space="preserve"> are defined </w:t>
      </w:r>
      <w:r w:rsidR="00291121">
        <w:t>as below:</w:t>
      </w:r>
    </w:p>
    <w:p w14:paraId="1AC9E3B0" w14:textId="77777777" w:rsidR="00291121" w:rsidRDefault="00291121" w:rsidP="00291121">
      <w:pPr>
        <w:spacing w:after="0"/>
      </w:pPr>
    </w:p>
    <w:p w14:paraId="4E30858B" w14:textId="77777777" w:rsidR="00796FE3" w:rsidRPr="00796FE3" w:rsidRDefault="00796FE3" w:rsidP="00796FE3">
      <w:pPr>
        <w:pStyle w:val="Caption"/>
        <w:keepNext/>
        <w:spacing w:after="0"/>
        <w:rPr>
          <w:b w:val="0"/>
          <w:bCs w:val="0"/>
          <w:color w:val="auto"/>
          <w:sz w:val="22"/>
          <w:szCs w:val="22"/>
        </w:rPr>
      </w:pPr>
      <w:r w:rsidRPr="00796FE3">
        <w:rPr>
          <w:bCs w:val="0"/>
          <w:color w:val="auto"/>
          <w:sz w:val="22"/>
          <w:szCs w:val="22"/>
        </w:rPr>
        <w:t xml:space="preserve">Table </w:t>
      </w:r>
      <w:r w:rsidRPr="00796FE3">
        <w:rPr>
          <w:bCs w:val="0"/>
          <w:color w:val="auto"/>
          <w:sz w:val="22"/>
          <w:szCs w:val="22"/>
        </w:rPr>
        <w:fldChar w:fldCharType="begin"/>
      </w:r>
      <w:r w:rsidRPr="00796FE3">
        <w:rPr>
          <w:bCs w:val="0"/>
          <w:color w:val="auto"/>
          <w:sz w:val="22"/>
          <w:szCs w:val="22"/>
        </w:rPr>
        <w:instrText xml:space="preserve"> SEQ Table \* ARABIC </w:instrText>
      </w:r>
      <w:r w:rsidRPr="00796FE3">
        <w:rPr>
          <w:bCs w:val="0"/>
          <w:color w:val="auto"/>
          <w:sz w:val="22"/>
          <w:szCs w:val="22"/>
        </w:rPr>
        <w:fldChar w:fldCharType="separate"/>
      </w:r>
      <w:r w:rsidR="00947DF1">
        <w:rPr>
          <w:bCs w:val="0"/>
          <w:noProof/>
          <w:color w:val="auto"/>
          <w:sz w:val="22"/>
          <w:szCs w:val="22"/>
        </w:rPr>
        <w:t>8</w:t>
      </w:r>
      <w:r w:rsidRPr="00796FE3">
        <w:rPr>
          <w:bCs w:val="0"/>
          <w:color w:val="auto"/>
          <w:sz w:val="22"/>
          <w:szCs w:val="22"/>
        </w:rPr>
        <w:fldChar w:fldCharType="end"/>
      </w:r>
      <w:r w:rsidRPr="00796FE3">
        <w:rPr>
          <w:bCs w:val="0"/>
          <w:color w:val="auto"/>
          <w:sz w:val="22"/>
          <w:szCs w:val="22"/>
        </w:rPr>
        <w:t>:</w:t>
      </w:r>
      <w:r w:rsidRPr="00796FE3">
        <w:rPr>
          <w:b w:val="0"/>
          <w:bCs w:val="0"/>
          <w:color w:val="auto"/>
          <w:sz w:val="22"/>
          <w:szCs w:val="22"/>
        </w:rPr>
        <w:t xml:space="preserve"> Chichester Receptor location descriptions:</w:t>
      </w:r>
    </w:p>
    <w:tbl>
      <w:tblPr>
        <w:tblW w:w="8620" w:type="dxa"/>
        <w:tblInd w:w="93" w:type="dxa"/>
        <w:tblLook w:val="04A0" w:firstRow="1" w:lastRow="0" w:firstColumn="1" w:lastColumn="0" w:noHBand="0" w:noVBand="1"/>
      </w:tblPr>
      <w:tblGrid>
        <w:gridCol w:w="1700"/>
        <w:gridCol w:w="1380"/>
        <w:gridCol w:w="1300"/>
        <w:gridCol w:w="2220"/>
        <w:gridCol w:w="2020"/>
      </w:tblGrid>
      <w:tr w:rsidR="00B355CE" w:rsidRPr="00B355CE" w14:paraId="67569935" w14:textId="77777777" w:rsidTr="00B355CE">
        <w:trPr>
          <w:trHeight w:val="300"/>
        </w:trPr>
        <w:tc>
          <w:tcPr>
            <w:tcW w:w="862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FFE96" w14:textId="77777777" w:rsidR="00B355CE" w:rsidRPr="00B355CE" w:rsidRDefault="00B355CE" w:rsidP="00B355CE">
            <w:pPr>
              <w:spacing w:after="0" w:line="240" w:lineRule="auto"/>
              <w:jc w:val="center"/>
              <w:rPr>
                <w:rFonts w:ascii="Calibri" w:eastAsia="Times New Roman" w:hAnsi="Calibri" w:cs="Times New Roman"/>
                <w:b/>
                <w:bCs/>
                <w:color w:val="000000"/>
                <w:lang w:eastAsia="en-GB"/>
              </w:rPr>
            </w:pPr>
            <w:r w:rsidRPr="00B355CE">
              <w:rPr>
                <w:rFonts w:ascii="Calibri" w:eastAsia="Times New Roman" w:hAnsi="Calibri" w:cs="Times New Roman"/>
                <w:b/>
                <w:bCs/>
                <w:color w:val="000000"/>
                <w:lang w:eastAsia="en-GB"/>
              </w:rPr>
              <w:t>Chichester receptor locations:</w:t>
            </w:r>
          </w:p>
        </w:tc>
      </w:tr>
      <w:tr w:rsidR="00B355CE" w:rsidRPr="00B355CE" w14:paraId="60CF3D45" w14:textId="77777777" w:rsidTr="00B355CE">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0040627F" w14:textId="77777777" w:rsidR="00B355CE" w:rsidRPr="00B355CE" w:rsidRDefault="00B355CE" w:rsidP="00B355CE">
            <w:pPr>
              <w:spacing w:after="0" w:line="240" w:lineRule="auto"/>
              <w:rPr>
                <w:rFonts w:ascii="Calibri" w:eastAsia="Times New Roman" w:hAnsi="Calibri" w:cs="Times New Roman"/>
                <w:b/>
                <w:bCs/>
                <w:color w:val="000000"/>
                <w:lang w:eastAsia="en-GB"/>
              </w:rPr>
            </w:pPr>
            <w:r w:rsidRPr="00B355CE">
              <w:rPr>
                <w:rFonts w:ascii="Calibri" w:eastAsia="Times New Roman" w:hAnsi="Calibri" w:cs="Times New Roman"/>
                <w:b/>
                <w:bCs/>
                <w:color w:val="000000"/>
                <w:lang w:eastAsia="en-GB"/>
              </w:rPr>
              <w:t>Receptor ID</w:t>
            </w:r>
          </w:p>
        </w:tc>
        <w:tc>
          <w:tcPr>
            <w:tcW w:w="1380" w:type="dxa"/>
            <w:tcBorders>
              <w:top w:val="nil"/>
              <w:left w:val="nil"/>
              <w:bottom w:val="single" w:sz="4" w:space="0" w:color="auto"/>
              <w:right w:val="single" w:sz="4" w:space="0" w:color="auto"/>
            </w:tcBorders>
            <w:shd w:val="clear" w:color="auto" w:fill="auto"/>
            <w:noWrap/>
            <w:vAlign w:val="bottom"/>
            <w:hideMark/>
          </w:tcPr>
          <w:p w14:paraId="410F4641" w14:textId="77777777" w:rsidR="00B355CE" w:rsidRPr="00B355CE" w:rsidRDefault="00B355CE" w:rsidP="00B355CE">
            <w:pPr>
              <w:spacing w:after="0" w:line="240" w:lineRule="auto"/>
              <w:jc w:val="center"/>
              <w:rPr>
                <w:rFonts w:ascii="Calibri" w:eastAsia="Times New Roman" w:hAnsi="Calibri" w:cs="Times New Roman"/>
                <w:b/>
                <w:bCs/>
                <w:color w:val="000000"/>
                <w:lang w:eastAsia="en-GB"/>
              </w:rPr>
            </w:pPr>
            <w:r w:rsidRPr="00B355CE">
              <w:rPr>
                <w:rFonts w:ascii="Calibri" w:eastAsia="Times New Roman" w:hAnsi="Calibri" w:cs="Times New Roman"/>
                <w:b/>
                <w:bCs/>
                <w:color w:val="000000"/>
                <w:lang w:eastAsia="en-GB"/>
              </w:rPr>
              <w:t>NGR X</w:t>
            </w:r>
          </w:p>
        </w:tc>
        <w:tc>
          <w:tcPr>
            <w:tcW w:w="1300" w:type="dxa"/>
            <w:tcBorders>
              <w:top w:val="nil"/>
              <w:left w:val="nil"/>
              <w:bottom w:val="single" w:sz="4" w:space="0" w:color="auto"/>
              <w:right w:val="single" w:sz="4" w:space="0" w:color="auto"/>
            </w:tcBorders>
            <w:shd w:val="clear" w:color="auto" w:fill="auto"/>
            <w:noWrap/>
            <w:vAlign w:val="bottom"/>
            <w:hideMark/>
          </w:tcPr>
          <w:p w14:paraId="0206F439" w14:textId="77777777" w:rsidR="00B355CE" w:rsidRPr="00B355CE" w:rsidRDefault="00B355CE" w:rsidP="00B355CE">
            <w:pPr>
              <w:spacing w:after="0" w:line="240" w:lineRule="auto"/>
              <w:jc w:val="center"/>
              <w:rPr>
                <w:rFonts w:ascii="Calibri" w:eastAsia="Times New Roman" w:hAnsi="Calibri" w:cs="Times New Roman"/>
                <w:b/>
                <w:bCs/>
                <w:color w:val="000000"/>
                <w:lang w:eastAsia="en-GB"/>
              </w:rPr>
            </w:pPr>
            <w:r w:rsidRPr="00B355CE">
              <w:rPr>
                <w:rFonts w:ascii="Calibri" w:eastAsia="Times New Roman" w:hAnsi="Calibri" w:cs="Times New Roman"/>
                <w:b/>
                <w:bCs/>
                <w:color w:val="000000"/>
                <w:lang w:eastAsia="en-GB"/>
              </w:rPr>
              <w:t>NGR Y</w:t>
            </w:r>
          </w:p>
        </w:tc>
        <w:tc>
          <w:tcPr>
            <w:tcW w:w="42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FD3F0F1" w14:textId="77777777" w:rsidR="00B355CE" w:rsidRPr="00B355CE" w:rsidRDefault="00B355CE" w:rsidP="00B355CE">
            <w:pPr>
              <w:spacing w:after="0" w:line="240" w:lineRule="auto"/>
              <w:jc w:val="center"/>
              <w:rPr>
                <w:rFonts w:ascii="Calibri" w:eastAsia="Times New Roman" w:hAnsi="Calibri" w:cs="Times New Roman"/>
                <w:b/>
                <w:bCs/>
                <w:color w:val="000000"/>
                <w:lang w:eastAsia="en-GB"/>
              </w:rPr>
            </w:pPr>
            <w:r w:rsidRPr="00B355CE">
              <w:rPr>
                <w:rFonts w:ascii="Calibri" w:eastAsia="Times New Roman" w:hAnsi="Calibri" w:cs="Times New Roman"/>
                <w:b/>
                <w:bCs/>
                <w:color w:val="000000"/>
                <w:lang w:eastAsia="en-GB"/>
              </w:rPr>
              <w:t>Location description:</w:t>
            </w:r>
          </w:p>
        </w:tc>
      </w:tr>
      <w:tr w:rsidR="00B355CE" w:rsidRPr="00B355CE" w14:paraId="3B96F448" w14:textId="77777777" w:rsidTr="00B355CE">
        <w:trPr>
          <w:trHeight w:val="73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096E6A3E"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1</w:t>
            </w:r>
          </w:p>
        </w:tc>
        <w:tc>
          <w:tcPr>
            <w:tcW w:w="1380" w:type="dxa"/>
            <w:tcBorders>
              <w:top w:val="nil"/>
              <w:left w:val="nil"/>
              <w:bottom w:val="single" w:sz="4" w:space="0" w:color="auto"/>
              <w:right w:val="single" w:sz="4" w:space="0" w:color="auto"/>
            </w:tcBorders>
            <w:shd w:val="clear" w:color="auto" w:fill="auto"/>
            <w:vAlign w:val="center"/>
            <w:hideMark/>
          </w:tcPr>
          <w:p w14:paraId="6BEE8EC2"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485773.91</w:t>
            </w:r>
          </w:p>
        </w:tc>
        <w:tc>
          <w:tcPr>
            <w:tcW w:w="1300" w:type="dxa"/>
            <w:tcBorders>
              <w:top w:val="nil"/>
              <w:left w:val="nil"/>
              <w:bottom w:val="single" w:sz="4" w:space="0" w:color="auto"/>
              <w:right w:val="single" w:sz="4" w:space="0" w:color="auto"/>
            </w:tcBorders>
            <w:shd w:val="clear" w:color="auto" w:fill="auto"/>
            <w:vAlign w:val="center"/>
            <w:hideMark/>
          </w:tcPr>
          <w:p w14:paraId="39E79832"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103960.26</w:t>
            </w:r>
          </w:p>
        </w:tc>
        <w:tc>
          <w:tcPr>
            <w:tcW w:w="2220" w:type="dxa"/>
            <w:tcBorders>
              <w:top w:val="nil"/>
              <w:left w:val="nil"/>
              <w:bottom w:val="single" w:sz="4" w:space="0" w:color="auto"/>
              <w:right w:val="single" w:sz="4" w:space="0" w:color="auto"/>
            </w:tcBorders>
            <w:shd w:val="clear" w:color="auto" w:fill="auto"/>
            <w:vAlign w:val="bottom"/>
            <w:hideMark/>
          </w:tcPr>
          <w:p w14:paraId="04C6896A"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Kings Ave/ Southbank</w:t>
            </w:r>
            <w:r w:rsidRPr="00B355CE">
              <w:rPr>
                <w:rFonts w:ascii="Calibri" w:eastAsia="Times New Roman" w:hAnsi="Calibri" w:cs="Times New Roman"/>
                <w:color w:val="000000"/>
                <w:lang w:eastAsia="en-GB"/>
              </w:rPr>
              <w:br/>
              <w:t>Junction</w:t>
            </w:r>
          </w:p>
        </w:tc>
        <w:tc>
          <w:tcPr>
            <w:tcW w:w="2020" w:type="dxa"/>
            <w:tcBorders>
              <w:top w:val="nil"/>
              <w:left w:val="nil"/>
              <w:bottom w:val="single" w:sz="4" w:space="0" w:color="auto"/>
              <w:right w:val="single" w:sz="4" w:space="0" w:color="auto"/>
            </w:tcBorders>
            <w:shd w:val="clear" w:color="auto" w:fill="auto"/>
            <w:vAlign w:val="bottom"/>
            <w:hideMark/>
          </w:tcPr>
          <w:p w14:paraId="4F92536A"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Stockbridge Roundabout</w:t>
            </w:r>
            <w:r w:rsidRPr="00B355CE">
              <w:rPr>
                <w:rFonts w:ascii="Calibri" w:eastAsia="Times New Roman" w:hAnsi="Calibri" w:cs="Times New Roman"/>
                <w:color w:val="000000"/>
                <w:lang w:eastAsia="en-GB"/>
              </w:rPr>
              <w:br/>
              <w:t>AQMA</w:t>
            </w:r>
          </w:p>
        </w:tc>
      </w:tr>
      <w:tr w:rsidR="00B355CE" w:rsidRPr="00B355CE" w14:paraId="47D62ED8" w14:textId="77777777" w:rsidTr="00B355CE">
        <w:trPr>
          <w:trHeight w:val="557"/>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292641C7"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lastRenderedPageBreak/>
              <w:t>2</w:t>
            </w:r>
          </w:p>
        </w:tc>
        <w:tc>
          <w:tcPr>
            <w:tcW w:w="1380" w:type="dxa"/>
            <w:tcBorders>
              <w:top w:val="nil"/>
              <w:left w:val="nil"/>
              <w:bottom w:val="single" w:sz="4" w:space="0" w:color="auto"/>
              <w:right w:val="single" w:sz="4" w:space="0" w:color="auto"/>
            </w:tcBorders>
            <w:shd w:val="clear" w:color="auto" w:fill="auto"/>
            <w:vAlign w:val="center"/>
            <w:hideMark/>
          </w:tcPr>
          <w:p w14:paraId="3BB63E0B"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485771.47</w:t>
            </w:r>
          </w:p>
        </w:tc>
        <w:tc>
          <w:tcPr>
            <w:tcW w:w="1300" w:type="dxa"/>
            <w:tcBorders>
              <w:top w:val="nil"/>
              <w:left w:val="nil"/>
              <w:bottom w:val="single" w:sz="4" w:space="0" w:color="auto"/>
              <w:right w:val="single" w:sz="4" w:space="0" w:color="auto"/>
            </w:tcBorders>
            <w:shd w:val="clear" w:color="auto" w:fill="auto"/>
            <w:vAlign w:val="center"/>
            <w:hideMark/>
          </w:tcPr>
          <w:p w14:paraId="5977022A"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103847.47</w:t>
            </w:r>
          </w:p>
        </w:tc>
        <w:tc>
          <w:tcPr>
            <w:tcW w:w="2220" w:type="dxa"/>
            <w:tcBorders>
              <w:top w:val="nil"/>
              <w:left w:val="nil"/>
              <w:bottom w:val="single" w:sz="4" w:space="0" w:color="auto"/>
              <w:right w:val="single" w:sz="4" w:space="0" w:color="auto"/>
            </w:tcBorders>
            <w:shd w:val="clear" w:color="auto" w:fill="auto"/>
            <w:vAlign w:val="bottom"/>
            <w:hideMark/>
          </w:tcPr>
          <w:p w14:paraId="459ADAC0"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 xml:space="preserve">Claremont Court </w:t>
            </w:r>
          </w:p>
        </w:tc>
        <w:tc>
          <w:tcPr>
            <w:tcW w:w="2020" w:type="dxa"/>
            <w:tcBorders>
              <w:top w:val="nil"/>
              <w:left w:val="nil"/>
              <w:bottom w:val="single" w:sz="4" w:space="0" w:color="auto"/>
              <w:right w:val="single" w:sz="4" w:space="0" w:color="auto"/>
            </w:tcBorders>
            <w:shd w:val="clear" w:color="auto" w:fill="auto"/>
            <w:vAlign w:val="bottom"/>
            <w:hideMark/>
          </w:tcPr>
          <w:p w14:paraId="60C6DB41"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Stockbridge Roundabout</w:t>
            </w:r>
            <w:r w:rsidRPr="00B355CE">
              <w:rPr>
                <w:rFonts w:ascii="Calibri" w:eastAsia="Times New Roman" w:hAnsi="Calibri" w:cs="Times New Roman"/>
                <w:color w:val="000000"/>
                <w:lang w:eastAsia="en-GB"/>
              </w:rPr>
              <w:br/>
              <w:t>AQMA</w:t>
            </w:r>
          </w:p>
        </w:tc>
      </w:tr>
      <w:tr w:rsidR="00B355CE" w:rsidRPr="00B355CE" w14:paraId="759F6B13" w14:textId="77777777" w:rsidTr="00B355CE">
        <w:trPr>
          <w:trHeight w:val="97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7ECFF353"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 xml:space="preserve">(3,4,5) </w:t>
            </w:r>
          </w:p>
        </w:tc>
        <w:tc>
          <w:tcPr>
            <w:tcW w:w="1380" w:type="dxa"/>
            <w:tcBorders>
              <w:top w:val="nil"/>
              <w:left w:val="nil"/>
              <w:bottom w:val="single" w:sz="4" w:space="0" w:color="auto"/>
              <w:right w:val="single" w:sz="4" w:space="0" w:color="auto"/>
            </w:tcBorders>
            <w:shd w:val="clear" w:color="auto" w:fill="auto"/>
            <w:vAlign w:val="center"/>
            <w:hideMark/>
          </w:tcPr>
          <w:p w14:paraId="0AB6B5B6"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485880.84</w:t>
            </w:r>
          </w:p>
        </w:tc>
        <w:tc>
          <w:tcPr>
            <w:tcW w:w="1300" w:type="dxa"/>
            <w:tcBorders>
              <w:top w:val="nil"/>
              <w:left w:val="nil"/>
              <w:bottom w:val="single" w:sz="4" w:space="0" w:color="auto"/>
              <w:right w:val="single" w:sz="4" w:space="0" w:color="auto"/>
            </w:tcBorders>
            <w:shd w:val="clear" w:color="auto" w:fill="auto"/>
            <w:vAlign w:val="center"/>
            <w:hideMark/>
          </w:tcPr>
          <w:p w14:paraId="1E65B2A7"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103791.63</w:t>
            </w:r>
          </w:p>
        </w:tc>
        <w:tc>
          <w:tcPr>
            <w:tcW w:w="2220" w:type="dxa"/>
            <w:tcBorders>
              <w:top w:val="nil"/>
              <w:left w:val="nil"/>
              <w:bottom w:val="single" w:sz="4" w:space="0" w:color="auto"/>
              <w:right w:val="single" w:sz="4" w:space="0" w:color="auto"/>
            </w:tcBorders>
            <w:shd w:val="clear" w:color="auto" w:fill="auto"/>
            <w:vAlign w:val="bottom"/>
            <w:hideMark/>
          </w:tcPr>
          <w:p w14:paraId="3E837899"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AQMS on Chichester Bypass</w:t>
            </w:r>
            <w:r w:rsidRPr="00B355CE">
              <w:rPr>
                <w:rFonts w:ascii="Calibri" w:eastAsia="Times New Roman" w:hAnsi="Calibri" w:cs="Times New Roman"/>
                <w:color w:val="000000"/>
                <w:lang w:eastAsia="en-GB"/>
              </w:rPr>
              <w:br/>
              <w:t>(A27) and Stockbridge</w:t>
            </w:r>
            <w:r w:rsidRPr="00B355CE">
              <w:rPr>
                <w:rFonts w:ascii="Calibri" w:eastAsia="Times New Roman" w:hAnsi="Calibri" w:cs="Times New Roman"/>
                <w:color w:val="000000"/>
                <w:lang w:eastAsia="en-GB"/>
              </w:rPr>
              <w:br/>
              <w:t>Roundabout</w:t>
            </w:r>
          </w:p>
        </w:tc>
        <w:tc>
          <w:tcPr>
            <w:tcW w:w="2020" w:type="dxa"/>
            <w:tcBorders>
              <w:top w:val="nil"/>
              <w:left w:val="nil"/>
              <w:bottom w:val="single" w:sz="4" w:space="0" w:color="auto"/>
              <w:right w:val="single" w:sz="4" w:space="0" w:color="auto"/>
            </w:tcBorders>
            <w:shd w:val="clear" w:color="auto" w:fill="auto"/>
            <w:vAlign w:val="bottom"/>
            <w:hideMark/>
          </w:tcPr>
          <w:p w14:paraId="54B66DCE"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Stockbridge Roundabout</w:t>
            </w:r>
            <w:r w:rsidRPr="00B355CE">
              <w:rPr>
                <w:rFonts w:ascii="Calibri" w:eastAsia="Times New Roman" w:hAnsi="Calibri" w:cs="Times New Roman"/>
                <w:color w:val="000000"/>
                <w:lang w:eastAsia="en-GB"/>
              </w:rPr>
              <w:br/>
              <w:t>AQMA</w:t>
            </w:r>
          </w:p>
        </w:tc>
      </w:tr>
      <w:tr w:rsidR="00B355CE" w:rsidRPr="00B355CE" w14:paraId="6C072E12" w14:textId="77777777" w:rsidTr="00B355CE">
        <w:trPr>
          <w:trHeight w:val="73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7FDB9FAD"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6</w:t>
            </w:r>
          </w:p>
        </w:tc>
        <w:tc>
          <w:tcPr>
            <w:tcW w:w="1380" w:type="dxa"/>
            <w:tcBorders>
              <w:top w:val="nil"/>
              <w:left w:val="nil"/>
              <w:bottom w:val="single" w:sz="4" w:space="0" w:color="auto"/>
              <w:right w:val="single" w:sz="4" w:space="0" w:color="auto"/>
            </w:tcBorders>
            <w:shd w:val="clear" w:color="auto" w:fill="auto"/>
            <w:vAlign w:val="center"/>
            <w:hideMark/>
          </w:tcPr>
          <w:p w14:paraId="27899FB8"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485695.78</w:t>
            </w:r>
          </w:p>
        </w:tc>
        <w:tc>
          <w:tcPr>
            <w:tcW w:w="1300" w:type="dxa"/>
            <w:tcBorders>
              <w:top w:val="nil"/>
              <w:left w:val="nil"/>
              <w:bottom w:val="single" w:sz="4" w:space="0" w:color="auto"/>
              <w:right w:val="single" w:sz="4" w:space="0" w:color="auto"/>
            </w:tcBorders>
            <w:shd w:val="clear" w:color="auto" w:fill="auto"/>
            <w:vAlign w:val="center"/>
            <w:hideMark/>
          </w:tcPr>
          <w:p w14:paraId="65C110A9"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103730.9</w:t>
            </w:r>
          </w:p>
        </w:tc>
        <w:tc>
          <w:tcPr>
            <w:tcW w:w="2220" w:type="dxa"/>
            <w:tcBorders>
              <w:top w:val="nil"/>
              <w:left w:val="nil"/>
              <w:bottom w:val="single" w:sz="4" w:space="0" w:color="auto"/>
              <w:right w:val="single" w:sz="4" w:space="0" w:color="auto"/>
            </w:tcBorders>
            <w:shd w:val="clear" w:color="auto" w:fill="auto"/>
            <w:vAlign w:val="bottom"/>
            <w:hideMark/>
          </w:tcPr>
          <w:p w14:paraId="3AA913CA"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 xml:space="preserve">Stockbridge Rd South (A286) </w:t>
            </w:r>
          </w:p>
        </w:tc>
        <w:tc>
          <w:tcPr>
            <w:tcW w:w="2020" w:type="dxa"/>
            <w:tcBorders>
              <w:top w:val="nil"/>
              <w:left w:val="nil"/>
              <w:bottom w:val="single" w:sz="4" w:space="0" w:color="auto"/>
              <w:right w:val="single" w:sz="4" w:space="0" w:color="auto"/>
            </w:tcBorders>
            <w:shd w:val="clear" w:color="auto" w:fill="auto"/>
            <w:vAlign w:val="bottom"/>
            <w:hideMark/>
          </w:tcPr>
          <w:p w14:paraId="0368F18C"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Stockbridge Roundabout</w:t>
            </w:r>
            <w:r w:rsidRPr="00B355CE">
              <w:rPr>
                <w:rFonts w:ascii="Calibri" w:eastAsia="Times New Roman" w:hAnsi="Calibri" w:cs="Times New Roman"/>
                <w:color w:val="000000"/>
                <w:lang w:eastAsia="en-GB"/>
              </w:rPr>
              <w:br/>
              <w:t>AQMA</w:t>
            </w:r>
          </w:p>
        </w:tc>
      </w:tr>
      <w:tr w:rsidR="00B355CE" w:rsidRPr="00B355CE" w14:paraId="61B3AFAC" w14:textId="77777777" w:rsidTr="00B355CE">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6A7F5ACD"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8</w:t>
            </w:r>
          </w:p>
        </w:tc>
        <w:tc>
          <w:tcPr>
            <w:tcW w:w="1380" w:type="dxa"/>
            <w:tcBorders>
              <w:top w:val="nil"/>
              <w:left w:val="nil"/>
              <w:bottom w:val="single" w:sz="4" w:space="0" w:color="auto"/>
              <w:right w:val="single" w:sz="4" w:space="0" w:color="auto"/>
            </w:tcBorders>
            <w:shd w:val="clear" w:color="auto" w:fill="auto"/>
            <w:vAlign w:val="center"/>
            <w:hideMark/>
          </w:tcPr>
          <w:p w14:paraId="32CB6AD3"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487340.41</w:t>
            </w:r>
          </w:p>
        </w:tc>
        <w:tc>
          <w:tcPr>
            <w:tcW w:w="1300" w:type="dxa"/>
            <w:tcBorders>
              <w:top w:val="nil"/>
              <w:left w:val="nil"/>
              <w:bottom w:val="single" w:sz="4" w:space="0" w:color="auto"/>
              <w:right w:val="single" w:sz="4" w:space="0" w:color="auto"/>
            </w:tcBorders>
            <w:shd w:val="clear" w:color="auto" w:fill="auto"/>
            <w:vAlign w:val="center"/>
            <w:hideMark/>
          </w:tcPr>
          <w:p w14:paraId="40CE0043"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105474.71</w:t>
            </w:r>
          </w:p>
        </w:tc>
        <w:tc>
          <w:tcPr>
            <w:tcW w:w="2220" w:type="dxa"/>
            <w:tcBorders>
              <w:top w:val="nil"/>
              <w:left w:val="nil"/>
              <w:bottom w:val="single" w:sz="4" w:space="0" w:color="auto"/>
              <w:right w:val="single" w:sz="4" w:space="0" w:color="auto"/>
            </w:tcBorders>
            <w:shd w:val="clear" w:color="auto" w:fill="auto"/>
            <w:vAlign w:val="bottom"/>
            <w:hideMark/>
          </w:tcPr>
          <w:p w14:paraId="39ECDB7D"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 xml:space="preserve">Westhampnett Rd </w:t>
            </w:r>
          </w:p>
        </w:tc>
        <w:tc>
          <w:tcPr>
            <w:tcW w:w="2020" w:type="dxa"/>
            <w:tcBorders>
              <w:top w:val="nil"/>
              <w:left w:val="nil"/>
              <w:bottom w:val="single" w:sz="4" w:space="0" w:color="auto"/>
              <w:right w:val="single" w:sz="4" w:space="0" w:color="auto"/>
            </w:tcBorders>
            <w:shd w:val="clear" w:color="auto" w:fill="auto"/>
            <w:vAlign w:val="bottom"/>
            <w:hideMark/>
          </w:tcPr>
          <w:p w14:paraId="4EAD1962"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w:t>
            </w:r>
          </w:p>
        </w:tc>
      </w:tr>
      <w:tr w:rsidR="00B355CE" w:rsidRPr="00B355CE" w14:paraId="1875D4AE" w14:textId="77777777" w:rsidTr="00B355CE">
        <w:trPr>
          <w:trHeight w:val="49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456748FA"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9</w:t>
            </w:r>
          </w:p>
        </w:tc>
        <w:tc>
          <w:tcPr>
            <w:tcW w:w="1380" w:type="dxa"/>
            <w:tcBorders>
              <w:top w:val="nil"/>
              <w:left w:val="nil"/>
              <w:bottom w:val="single" w:sz="4" w:space="0" w:color="auto"/>
              <w:right w:val="single" w:sz="4" w:space="0" w:color="auto"/>
            </w:tcBorders>
            <w:shd w:val="clear" w:color="auto" w:fill="auto"/>
            <w:vAlign w:val="center"/>
            <w:hideMark/>
          </w:tcPr>
          <w:p w14:paraId="26678373"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486502.25</w:t>
            </w:r>
          </w:p>
        </w:tc>
        <w:tc>
          <w:tcPr>
            <w:tcW w:w="1300" w:type="dxa"/>
            <w:tcBorders>
              <w:top w:val="nil"/>
              <w:left w:val="nil"/>
              <w:bottom w:val="single" w:sz="4" w:space="0" w:color="auto"/>
              <w:right w:val="single" w:sz="4" w:space="0" w:color="auto"/>
            </w:tcBorders>
            <w:shd w:val="clear" w:color="auto" w:fill="auto"/>
            <w:vAlign w:val="center"/>
            <w:hideMark/>
          </w:tcPr>
          <w:p w14:paraId="6C2AAA71"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104793.87</w:t>
            </w:r>
          </w:p>
        </w:tc>
        <w:tc>
          <w:tcPr>
            <w:tcW w:w="2220" w:type="dxa"/>
            <w:tcBorders>
              <w:top w:val="nil"/>
              <w:left w:val="nil"/>
              <w:bottom w:val="single" w:sz="4" w:space="0" w:color="auto"/>
              <w:right w:val="single" w:sz="4" w:space="0" w:color="auto"/>
            </w:tcBorders>
            <w:shd w:val="clear" w:color="auto" w:fill="auto"/>
            <w:vAlign w:val="bottom"/>
            <w:hideMark/>
          </w:tcPr>
          <w:p w14:paraId="3BD99ED2"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 xml:space="preserve">The Hornet </w:t>
            </w:r>
          </w:p>
        </w:tc>
        <w:tc>
          <w:tcPr>
            <w:tcW w:w="2020" w:type="dxa"/>
            <w:tcBorders>
              <w:top w:val="nil"/>
              <w:left w:val="nil"/>
              <w:bottom w:val="single" w:sz="4" w:space="0" w:color="auto"/>
              <w:right w:val="single" w:sz="4" w:space="0" w:color="auto"/>
            </w:tcBorders>
            <w:shd w:val="clear" w:color="auto" w:fill="auto"/>
            <w:vAlign w:val="bottom"/>
            <w:hideMark/>
          </w:tcPr>
          <w:p w14:paraId="26AEBC2D"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(South of) St Pancras AQMA</w:t>
            </w:r>
          </w:p>
        </w:tc>
      </w:tr>
      <w:tr w:rsidR="00B355CE" w:rsidRPr="00B355CE" w14:paraId="267E915E" w14:textId="77777777" w:rsidTr="00B355CE">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7B6CD1E0"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10</w:t>
            </w:r>
          </w:p>
        </w:tc>
        <w:tc>
          <w:tcPr>
            <w:tcW w:w="1380" w:type="dxa"/>
            <w:tcBorders>
              <w:top w:val="nil"/>
              <w:left w:val="nil"/>
              <w:bottom w:val="single" w:sz="4" w:space="0" w:color="auto"/>
              <w:right w:val="single" w:sz="4" w:space="0" w:color="auto"/>
            </w:tcBorders>
            <w:shd w:val="clear" w:color="auto" w:fill="auto"/>
            <w:vAlign w:val="center"/>
            <w:hideMark/>
          </w:tcPr>
          <w:p w14:paraId="18BC8732"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486532.97</w:t>
            </w:r>
          </w:p>
        </w:tc>
        <w:tc>
          <w:tcPr>
            <w:tcW w:w="1300" w:type="dxa"/>
            <w:tcBorders>
              <w:top w:val="nil"/>
              <w:left w:val="nil"/>
              <w:bottom w:val="single" w:sz="4" w:space="0" w:color="auto"/>
              <w:right w:val="single" w:sz="4" w:space="0" w:color="auto"/>
            </w:tcBorders>
            <w:shd w:val="clear" w:color="auto" w:fill="auto"/>
            <w:vAlign w:val="center"/>
            <w:hideMark/>
          </w:tcPr>
          <w:p w14:paraId="139B56B8"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104860.06</w:t>
            </w:r>
          </w:p>
        </w:tc>
        <w:tc>
          <w:tcPr>
            <w:tcW w:w="2220" w:type="dxa"/>
            <w:tcBorders>
              <w:top w:val="nil"/>
              <w:left w:val="nil"/>
              <w:bottom w:val="single" w:sz="4" w:space="0" w:color="auto"/>
              <w:right w:val="single" w:sz="4" w:space="0" w:color="auto"/>
            </w:tcBorders>
            <w:shd w:val="clear" w:color="auto" w:fill="auto"/>
            <w:vAlign w:val="bottom"/>
            <w:hideMark/>
          </w:tcPr>
          <w:p w14:paraId="495A843F"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 xml:space="preserve">St Pancras </w:t>
            </w:r>
          </w:p>
        </w:tc>
        <w:tc>
          <w:tcPr>
            <w:tcW w:w="2020" w:type="dxa"/>
            <w:tcBorders>
              <w:top w:val="nil"/>
              <w:left w:val="nil"/>
              <w:bottom w:val="single" w:sz="4" w:space="0" w:color="auto"/>
              <w:right w:val="single" w:sz="4" w:space="0" w:color="auto"/>
            </w:tcBorders>
            <w:shd w:val="clear" w:color="auto" w:fill="auto"/>
            <w:vAlign w:val="bottom"/>
            <w:hideMark/>
          </w:tcPr>
          <w:p w14:paraId="30902F97"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St Pancras AQMA</w:t>
            </w:r>
          </w:p>
        </w:tc>
      </w:tr>
      <w:tr w:rsidR="00B355CE" w:rsidRPr="00B355CE" w14:paraId="45C24646" w14:textId="77777777" w:rsidTr="00B355CE">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609B90FF"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12</w:t>
            </w:r>
          </w:p>
        </w:tc>
        <w:tc>
          <w:tcPr>
            <w:tcW w:w="1380" w:type="dxa"/>
            <w:tcBorders>
              <w:top w:val="nil"/>
              <w:left w:val="nil"/>
              <w:bottom w:val="single" w:sz="4" w:space="0" w:color="auto"/>
              <w:right w:val="single" w:sz="4" w:space="0" w:color="auto"/>
            </w:tcBorders>
            <w:shd w:val="clear" w:color="auto" w:fill="auto"/>
            <w:vAlign w:val="center"/>
            <w:hideMark/>
          </w:tcPr>
          <w:p w14:paraId="4B167C46"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485913.44</w:t>
            </w:r>
          </w:p>
        </w:tc>
        <w:tc>
          <w:tcPr>
            <w:tcW w:w="1300" w:type="dxa"/>
            <w:tcBorders>
              <w:top w:val="nil"/>
              <w:left w:val="nil"/>
              <w:bottom w:val="single" w:sz="4" w:space="0" w:color="auto"/>
              <w:right w:val="single" w:sz="4" w:space="0" w:color="auto"/>
            </w:tcBorders>
            <w:shd w:val="clear" w:color="auto" w:fill="auto"/>
            <w:vAlign w:val="center"/>
            <w:hideMark/>
          </w:tcPr>
          <w:p w14:paraId="38AA6A03"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105186.34</w:t>
            </w:r>
          </w:p>
        </w:tc>
        <w:tc>
          <w:tcPr>
            <w:tcW w:w="2220" w:type="dxa"/>
            <w:tcBorders>
              <w:top w:val="nil"/>
              <w:left w:val="nil"/>
              <w:bottom w:val="single" w:sz="4" w:space="0" w:color="auto"/>
              <w:right w:val="single" w:sz="4" w:space="0" w:color="auto"/>
            </w:tcBorders>
            <w:shd w:val="clear" w:color="auto" w:fill="auto"/>
            <w:vAlign w:val="bottom"/>
            <w:hideMark/>
          </w:tcPr>
          <w:p w14:paraId="7CB1D418"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 xml:space="preserve">174 Orchard St </w:t>
            </w:r>
          </w:p>
        </w:tc>
        <w:tc>
          <w:tcPr>
            <w:tcW w:w="2020" w:type="dxa"/>
            <w:tcBorders>
              <w:top w:val="nil"/>
              <w:left w:val="nil"/>
              <w:bottom w:val="single" w:sz="4" w:space="0" w:color="auto"/>
              <w:right w:val="single" w:sz="4" w:space="0" w:color="auto"/>
            </w:tcBorders>
            <w:shd w:val="clear" w:color="auto" w:fill="auto"/>
            <w:vAlign w:val="bottom"/>
            <w:hideMark/>
          </w:tcPr>
          <w:p w14:paraId="4D22A935"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Orchard St AQMA</w:t>
            </w:r>
          </w:p>
        </w:tc>
      </w:tr>
      <w:tr w:rsidR="00B355CE" w:rsidRPr="00B355CE" w14:paraId="2F56482E" w14:textId="77777777" w:rsidTr="00B355CE">
        <w:trPr>
          <w:trHeight w:val="73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490EB41C"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 xml:space="preserve">CI1 </w:t>
            </w:r>
          </w:p>
        </w:tc>
        <w:tc>
          <w:tcPr>
            <w:tcW w:w="1380" w:type="dxa"/>
            <w:tcBorders>
              <w:top w:val="nil"/>
              <w:left w:val="nil"/>
              <w:bottom w:val="single" w:sz="4" w:space="0" w:color="auto"/>
              <w:right w:val="single" w:sz="4" w:space="0" w:color="auto"/>
            </w:tcBorders>
            <w:shd w:val="clear" w:color="auto" w:fill="auto"/>
            <w:vAlign w:val="center"/>
            <w:hideMark/>
          </w:tcPr>
          <w:p w14:paraId="5420775A"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485880.84</w:t>
            </w:r>
          </w:p>
        </w:tc>
        <w:tc>
          <w:tcPr>
            <w:tcW w:w="1300" w:type="dxa"/>
            <w:tcBorders>
              <w:top w:val="nil"/>
              <w:left w:val="nil"/>
              <w:bottom w:val="single" w:sz="4" w:space="0" w:color="auto"/>
              <w:right w:val="single" w:sz="4" w:space="0" w:color="auto"/>
            </w:tcBorders>
            <w:shd w:val="clear" w:color="auto" w:fill="auto"/>
            <w:vAlign w:val="center"/>
            <w:hideMark/>
          </w:tcPr>
          <w:p w14:paraId="7C8FA816"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103791.63</w:t>
            </w:r>
          </w:p>
        </w:tc>
        <w:tc>
          <w:tcPr>
            <w:tcW w:w="2220" w:type="dxa"/>
            <w:tcBorders>
              <w:top w:val="nil"/>
              <w:left w:val="nil"/>
              <w:bottom w:val="single" w:sz="4" w:space="0" w:color="auto"/>
              <w:right w:val="single" w:sz="4" w:space="0" w:color="auto"/>
            </w:tcBorders>
            <w:shd w:val="clear" w:color="auto" w:fill="auto"/>
            <w:vAlign w:val="bottom"/>
            <w:hideMark/>
          </w:tcPr>
          <w:p w14:paraId="2E303F84"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Stockbridge, near to the</w:t>
            </w:r>
            <w:r w:rsidRPr="00B355CE">
              <w:rPr>
                <w:rFonts w:ascii="Calibri" w:eastAsia="Times New Roman" w:hAnsi="Calibri" w:cs="Times New Roman"/>
                <w:color w:val="000000"/>
                <w:lang w:eastAsia="en-GB"/>
              </w:rPr>
              <w:br/>
              <w:t>Chichester Bypass and</w:t>
            </w:r>
            <w:r w:rsidRPr="00B355CE">
              <w:rPr>
                <w:rFonts w:ascii="Calibri" w:eastAsia="Times New Roman" w:hAnsi="Calibri" w:cs="Times New Roman"/>
                <w:color w:val="000000"/>
                <w:lang w:eastAsia="en-GB"/>
              </w:rPr>
              <w:br/>
              <w:t>Stockbridge R’about</w:t>
            </w:r>
          </w:p>
        </w:tc>
        <w:tc>
          <w:tcPr>
            <w:tcW w:w="2020" w:type="dxa"/>
            <w:tcBorders>
              <w:top w:val="nil"/>
              <w:left w:val="nil"/>
              <w:bottom w:val="single" w:sz="4" w:space="0" w:color="auto"/>
              <w:right w:val="single" w:sz="4" w:space="0" w:color="auto"/>
            </w:tcBorders>
            <w:shd w:val="clear" w:color="auto" w:fill="auto"/>
            <w:vAlign w:val="bottom"/>
            <w:hideMark/>
          </w:tcPr>
          <w:p w14:paraId="0C01779C"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Stockbridge Roundabout</w:t>
            </w:r>
            <w:r w:rsidRPr="00B355CE">
              <w:rPr>
                <w:rFonts w:ascii="Calibri" w:eastAsia="Times New Roman" w:hAnsi="Calibri" w:cs="Times New Roman"/>
                <w:color w:val="000000"/>
                <w:lang w:eastAsia="en-GB"/>
              </w:rPr>
              <w:br/>
              <w:t>AQMA</w:t>
            </w:r>
          </w:p>
        </w:tc>
      </w:tr>
      <w:tr w:rsidR="00B355CE" w:rsidRPr="00B355CE" w14:paraId="0A0A557D" w14:textId="77777777" w:rsidTr="00B355CE">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1C1BE282"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 xml:space="preserve">CI4 </w:t>
            </w:r>
          </w:p>
        </w:tc>
        <w:tc>
          <w:tcPr>
            <w:tcW w:w="1380" w:type="dxa"/>
            <w:tcBorders>
              <w:top w:val="nil"/>
              <w:left w:val="nil"/>
              <w:bottom w:val="single" w:sz="4" w:space="0" w:color="auto"/>
              <w:right w:val="single" w:sz="4" w:space="0" w:color="auto"/>
            </w:tcBorders>
            <w:shd w:val="clear" w:color="auto" w:fill="auto"/>
            <w:vAlign w:val="center"/>
            <w:hideMark/>
          </w:tcPr>
          <w:p w14:paraId="74CD47E0"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485981.41</w:t>
            </w:r>
          </w:p>
        </w:tc>
        <w:tc>
          <w:tcPr>
            <w:tcW w:w="1300" w:type="dxa"/>
            <w:tcBorders>
              <w:top w:val="nil"/>
              <w:left w:val="nil"/>
              <w:bottom w:val="single" w:sz="4" w:space="0" w:color="auto"/>
              <w:right w:val="single" w:sz="4" w:space="0" w:color="auto"/>
            </w:tcBorders>
            <w:shd w:val="clear" w:color="auto" w:fill="auto"/>
            <w:vAlign w:val="center"/>
            <w:hideMark/>
          </w:tcPr>
          <w:p w14:paraId="024B547D"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105222.45</w:t>
            </w:r>
          </w:p>
        </w:tc>
        <w:tc>
          <w:tcPr>
            <w:tcW w:w="2220" w:type="dxa"/>
            <w:tcBorders>
              <w:top w:val="nil"/>
              <w:left w:val="nil"/>
              <w:bottom w:val="single" w:sz="4" w:space="0" w:color="auto"/>
              <w:right w:val="single" w:sz="4" w:space="0" w:color="auto"/>
            </w:tcBorders>
            <w:shd w:val="clear" w:color="auto" w:fill="auto"/>
            <w:vAlign w:val="bottom"/>
            <w:hideMark/>
          </w:tcPr>
          <w:p w14:paraId="1EF4F97B"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 xml:space="preserve">Orchard St </w:t>
            </w:r>
          </w:p>
        </w:tc>
        <w:tc>
          <w:tcPr>
            <w:tcW w:w="2020" w:type="dxa"/>
            <w:tcBorders>
              <w:top w:val="nil"/>
              <w:left w:val="nil"/>
              <w:bottom w:val="single" w:sz="4" w:space="0" w:color="auto"/>
              <w:right w:val="single" w:sz="4" w:space="0" w:color="auto"/>
            </w:tcBorders>
            <w:shd w:val="clear" w:color="auto" w:fill="auto"/>
            <w:vAlign w:val="bottom"/>
            <w:hideMark/>
          </w:tcPr>
          <w:p w14:paraId="3713B4C2"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Orchard St AQMA</w:t>
            </w:r>
          </w:p>
        </w:tc>
      </w:tr>
      <w:tr w:rsidR="00B355CE" w:rsidRPr="00B355CE" w14:paraId="7AC37ACF" w14:textId="77777777" w:rsidTr="00B355CE">
        <w:trPr>
          <w:trHeight w:val="49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497E5C2D"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15</w:t>
            </w:r>
          </w:p>
        </w:tc>
        <w:tc>
          <w:tcPr>
            <w:tcW w:w="1380" w:type="dxa"/>
            <w:tcBorders>
              <w:top w:val="nil"/>
              <w:left w:val="nil"/>
              <w:bottom w:val="single" w:sz="4" w:space="0" w:color="auto"/>
              <w:right w:val="single" w:sz="4" w:space="0" w:color="auto"/>
            </w:tcBorders>
            <w:shd w:val="clear" w:color="auto" w:fill="auto"/>
            <w:vAlign w:val="center"/>
            <w:hideMark/>
          </w:tcPr>
          <w:p w14:paraId="0FA2F3EE"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486575.92</w:t>
            </w:r>
          </w:p>
        </w:tc>
        <w:tc>
          <w:tcPr>
            <w:tcW w:w="1300" w:type="dxa"/>
            <w:tcBorders>
              <w:top w:val="nil"/>
              <w:left w:val="nil"/>
              <w:bottom w:val="single" w:sz="4" w:space="0" w:color="auto"/>
              <w:right w:val="single" w:sz="4" w:space="0" w:color="auto"/>
            </w:tcBorders>
            <w:shd w:val="clear" w:color="auto" w:fill="auto"/>
            <w:vAlign w:val="center"/>
            <w:hideMark/>
          </w:tcPr>
          <w:p w14:paraId="7974B32B"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104799.25</w:t>
            </w:r>
          </w:p>
        </w:tc>
        <w:tc>
          <w:tcPr>
            <w:tcW w:w="2220" w:type="dxa"/>
            <w:tcBorders>
              <w:top w:val="nil"/>
              <w:left w:val="nil"/>
              <w:bottom w:val="single" w:sz="4" w:space="0" w:color="auto"/>
              <w:right w:val="single" w:sz="4" w:space="0" w:color="auto"/>
            </w:tcBorders>
            <w:shd w:val="clear" w:color="auto" w:fill="auto"/>
            <w:vAlign w:val="bottom"/>
            <w:hideMark/>
          </w:tcPr>
          <w:p w14:paraId="0D0A844A"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 xml:space="preserve">32 The Hornet </w:t>
            </w:r>
          </w:p>
        </w:tc>
        <w:tc>
          <w:tcPr>
            <w:tcW w:w="2020" w:type="dxa"/>
            <w:tcBorders>
              <w:top w:val="nil"/>
              <w:left w:val="nil"/>
              <w:bottom w:val="single" w:sz="4" w:space="0" w:color="auto"/>
              <w:right w:val="single" w:sz="4" w:space="0" w:color="auto"/>
            </w:tcBorders>
            <w:shd w:val="clear" w:color="auto" w:fill="auto"/>
            <w:vAlign w:val="bottom"/>
            <w:hideMark/>
          </w:tcPr>
          <w:p w14:paraId="6781D489"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(South of) St Pancras AQMA</w:t>
            </w:r>
          </w:p>
        </w:tc>
      </w:tr>
      <w:tr w:rsidR="00B355CE" w:rsidRPr="00B355CE" w14:paraId="1C13F790" w14:textId="77777777" w:rsidTr="00B355CE">
        <w:trPr>
          <w:trHeight w:val="73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384B5EBF"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 xml:space="preserve">W1 </w:t>
            </w:r>
          </w:p>
        </w:tc>
        <w:tc>
          <w:tcPr>
            <w:tcW w:w="1380" w:type="dxa"/>
            <w:tcBorders>
              <w:top w:val="nil"/>
              <w:left w:val="nil"/>
              <w:bottom w:val="single" w:sz="4" w:space="0" w:color="auto"/>
              <w:right w:val="single" w:sz="4" w:space="0" w:color="auto"/>
            </w:tcBorders>
            <w:shd w:val="clear" w:color="auto" w:fill="auto"/>
            <w:vAlign w:val="center"/>
            <w:hideMark/>
          </w:tcPr>
          <w:p w14:paraId="3E7E8F7E"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486916.28</w:t>
            </w:r>
          </w:p>
        </w:tc>
        <w:tc>
          <w:tcPr>
            <w:tcW w:w="1300" w:type="dxa"/>
            <w:tcBorders>
              <w:top w:val="nil"/>
              <w:left w:val="nil"/>
              <w:bottom w:val="single" w:sz="4" w:space="0" w:color="auto"/>
              <w:right w:val="single" w:sz="4" w:space="0" w:color="auto"/>
            </w:tcBorders>
            <w:shd w:val="clear" w:color="auto" w:fill="auto"/>
            <w:vAlign w:val="center"/>
            <w:hideMark/>
          </w:tcPr>
          <w:p w14:paraId="1853A0E7"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103709.01</w:t>
            </w:r>
          </w:p>
        </w:tc>
        <w:tc>
          <w:tcPr>
            <w:tcW w:w="2220" w:type="dxa"/>
            <w:tcBorders>
              <w:top w:val="nil"/>
              <w:left w:val="nil"/>
              <w:bottom w:val="single" w:sz="4" w:space="0" w:color="auto"/>
              <w:right w:val="single" w:sz="4" w:space="0" w:color="auto"/>
            </w:tcBorders>
            <w:shd w:val="clear" w:color="auto" w:fill="auto"/>
            <w:vAlign w:val="bottom"/>
            <w:hideMark/>
          </w:tcPr>
          <w:p w14:paraId="5B50865F"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Nursing Home, Whyke Rd</w:t>
            </w:r>
            <w:r w:rsidRPr="00B355CE">
              <w:rPr>
                <w:rFonts w:ascii="Calibri" w:eastAsia="Times New Roman" w:hAnsi="Calibri" w:cs="Times New Roman"/>
                <w:color w:val="000000"/>
                <w:lang w:eastAsia="en-GB"/>
              </w:rPr>
              <w:br/>
              <w:t xml:space="preserve">(B2135) </w:t>
            </w:r>
          </w:p>
        </w:tc>
        <w:tc>
          <w:tcPr>
            <w:tcW w:w="2020" w:type="dxa"/>
            <w:tcBorders>
              <w:top w:val="nil"/>
              <w:left w:val="nil"/>
              <w:bottom w:val="single" w:sz="4" w:space="0" w:color="auto"/>
              <w:right w:val="single" w:sz="4" w:space="0" w:color="auto"/>
            </w:tcBorders>
            <w:shd w:val="clear" w:color="auto" w:fill="auto"/>
            <w:vAlign w:val="bottom"/>
            <w:hideMark/>
          </w:tcPr>
          <w:p w14:paraId="3B3FDD27"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NE of Whyke/A27 roundabout</w:t>
            </w:r>
          </w:p>
        </w:tc>
      </w:tr>
      <w:tr w:rsidR="00B355CE" w:rsidRPr="00B355CE" w14:paraId="0807A457" w14:textId="77777777" w:rsidTr="00B355CE">
        <w:trPr>
          <w:trHeight w:val="49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450D1359"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 xml:space="preserve">W2 </w:t>
            </w:r>
          </w:p>
        </w:tc>
        <w:tc>
          <w:tcPr>
            <w:tcW w:w="1380" w:type="dxa"/>
            <w:tcBorders>
              <w:top w:val="nil"/>
              <w:left w:val="nil"/>
              <w:bottom w:val="single" w:sz="4" w:space="0" w:color="auto"/>
              <w:right w:val="single" w:sz="4" w:space="0" w:color="auto"/>
            </w:tcBorders>
            <w:shd w:val="clear" w:color="auto" w:fill="auto"/>
            <w:vAlign w:val="center"/>
            <w:hideMark/>
          </w:tcPr>
          <w:p w14:paraId="21AC147A"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486843.81</w:t>
            </w:r>
          </w:p>
        </w:tc>
        <w:tc>
          <w:tcPr>
            <w:tcW w:w="1300" w:type="dxa"/>
            <w:tcBorders>
              <w:top w:val="nil"/>
              <w:left w:val="nil"/>
              <w:bottom w:val="single" w:sz="4" w:space="0" w:color="auto"/>
              <w:right w:val="single" w:sz="4" w:space="0" w:color="auto"/>
            </w:tcBorders>
            <w:shd w:val="clear" w:color="auto" w:fill="auto"/>
            <w:vAlign w:val="center"/>
            <w:hideMark/>
          </w:tcPr>
          <w:p w14:paraId="619A494F"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103719.1</w:t>
            </w:r>
          </w:p>
        </w:tc>
        <w:tc>
          <w:tcPr>
            <w:tcW w:w="2220" w:type="dxa"/>
            <w:tcBorders>
              <w:top w:val="nil"/>
              <w:left w:val="nil"/>
              <w:bottom w:val="single" w:sz="4" w:space="0" w:color="auto"/>
              <w:right w:val="single" w:sz="4" w:space="0" w:color="auto"/>
            </w:tcBorders>
            <w:shd w:val="clear" w:color="auto" w:fill="auto"/>
            <w:vAlign w:val="bottom"/>
            <w:hideMark/>
          </w:tcPr>
          <w:p w14:paraId="76FB565B"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 xml:space="preserve">22/23 Whyke Close </w:t>
            </w:r>
          </w:p>
        </w:tc>
        <w:tc>
          <w:tcPr>
            <w:tcW w:w="2020" w:type="dxa"/>
            <w:tcBorders>
              <w:top w:val="nil"/>
              <w:left w:val="nil"/>
              <w:bottom w:val="single" w:sz="4" w:space="0" w:color="auto"/>
              <w:right w:val="single" w:sz="4" w:space="0" w:color="auto"/>
            </w:tcBorders>
            <w:shd w:val="clear" w:color="auto" w:fill="auto"/>
            <w:vAlign w:val="bottom"/>
            <w:hideMark/>
          </w:tcPr>
          <w:p w14:paraId="232CC829"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NW of Whyke/A27 roundabout</w:t>
            </w:r>
          </w:p>
        </w:tc>
      </w:tr>
      <w:tr w:rsidR="00B355CE" w:rsidRPr="00B355CE" w14:paraId="391F0BAA" w14:textId="77777777" w:rsidTr="00B355CE">
        <w:trPr>
          <w:trHeight w:val="49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2838501C"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 xml:space="preserve">O1 </w:t>
            </w:r>
          </w:p>
        </w:tc>
        <w:tc>
          <w:tcPr>
            <w:tcW w:w="1380" w:type="dxa"/>
            <w:tcBorders>
              <w:top w:val="nil"/>
              <w:left w:val="nil"/>
              <w:bottom w:val="single" w:sz="4" w:space="0" w:color="auto"/>
              <w:right w:val="single" w:sz="4" w:space="0" w:color="auto"/>
            </w:tcBorders>
            <w:shd w:val="clear" w:color="auto" w:fill="auto"/>
            <w:vAlign w:val="center"/>
            <w:hideMark/>
          </w:tcPr>
          <w:p w14:paraId="136605FC"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487745.06</w:t>
            </w:r>
          </w:p>
        </w:tc>
        <w:tc>
          <w:tcPr>
            <w:tcW w:w="1300" w:type="dxa"/>
            <w:tcBorders>
              <w:top w:val="nil"/>
              <w:left w:val="nil"/>
              <w:bottom w:val="single" w:sz="4" w:space="0" w:color="auto"/>
              <w:right w:val="single" w:sz="4" w:space="0" w:color="auto"/>
            </w:tcBorders>
            <w:shd w:val="clear" w:color="auto" w:fill="auto"/>
            <w:vAlign w:val="center"/>
            <w:hideMark/>
          </w:tcPr>
          <w:p w14:paraId="4C0056C8"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105015.62</w:t>
            </w:r>
          </w:p>
        </w:tc>
        <w:tc>
          <w:tcPr>
            <w:tcW w:w="2220" w:type="dxa"/>
            <w:tcBorders>
              <w:top w:val="nil"/>
              <w:left w:val="nil"/>
              <w:bottom w:val="single" w:sz="4" w:space="0" w:color="auto"/>
              <w:right w:val="single" w:sz="4" w:space="0" w:color="auto"/>
            </w:tcBorders>
            <w:shd w:val="clear" w:color="auto" w:fill="auto"/>
            <w:vAlign w:val="bottom"/>
            <w:hideMark/>
          </w:tcPr>
          <w:p w14:paraId="440E2660"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 xml:space="preserve">Church Rd property </w:t>
            </w:r>
          </w:p>
        </w:tc>
        <w:tc>
          <w:tcPr>
            <w:tcW w:w="2020" w:type="dxa"/>
            <w:tcBorders>
              <w:top w:val="nil"/>
              <w:left w:val="nil"/>
              <w:bottom w:val="single" w:sz="4" w:space="0" w:color="auto"/>
              <w:right w:val="single" w:sz="4" w:space="0" w:color="auto"/>
            </w:tcBorders>
            <w:shd w:val="clear" w:color="auto" w:fill="auto"/>
            <w:vAlign w:val="bottom"/>
            <w:hideMark/>
          </w:tcPr>
          <w:p w14:paraId="6DE3040B"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NW of Oving Rd/A27</w:t>
            </w:r>
            <w:r w:rsidRPr="00B355CE">
              <w:rPr>
                <w:rFonts w:ascii="Calibri" w:eastAsia="Times New Roman" w:hAnsi="Calibri" w:cs="Times New Roman"/>
                <w:color w:val="000000"/>
                <w:lang w:eastAsia="en-GB"/>
              </w:rPr>
              <w:br/>
              <w:t>intersection</w:t>
            </w:r>
          </w:p>
        </w:tc>
      </w:tr>
      <w:tr w:rsidR="00B355CE" w:rsidRPr="00B355CE" w14:paraId="4851AC3E" w14:textId="77777777" w:rsidTr="00B355CE">
        <w:trPr>
          <w:trHeight w:val="495"/>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770F415C"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 xml:space="preserve">O2 </w:t>
            </w:r>
          </w:p>
        </w:tc>
        <w:tc>
          <w:tcPr>
            <w:tcW w:w="1380" w:type="dxa"/>
            <w:tcBorders>
              <w:top w:val="nil"/>
              <w:left w:val="nil"/>
              <w:bottom w:val="single" w:sz="4" w:space="0" w:color="auto"/>
              <w:right w:val="single" w:sz="4" w:space="0" w:color="auto"/>
            </w:tcBorders>
            <w:shd w:val="clear" w:color="auto" w:fill="auto"/>
            <w:vAlign w:val="center"/>
            <w:hideMark/>
          </w:tcPr>
          <w:p w14:paraId="1F4B6700"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487803.03</w:t>
            </w:r>
          </w:p>
        </w:tc>
        <w:tc>
          <w:tcPr>
            <w:tcW w:w="1300" w:type="dxa"/>
            <w:tcBorders>
              <w:top w:val="nil"/>
              <w:left w:val="nil"/>
              <w:bottom w:val="single" w:sz="4" w:space="0" w:color="auto"/>
              <w:right w:val="single" w:sz="4" w:space="0" w:color="auto"/>
            </w:tcBorders>
            <w:shd w:val="clear" w:color="auto" w:fill="auto"/>
            <w:vAlign w:val="center"/>
            <w:hideMark/>
          </w:tcPr>
          <w:p w14:paraId="2ABB3927" w14:textId="77777777" w:rsidR="00B355CE" w:rsidRPr="00B355CE" w:rsidRDefault="00B355CE" w:rsidP="00B355CE">
            <w:pPr>
              <w:spacing w:after="0" w:line="240" w:lineRule="auto"/>
              <w:jc w:val="center"/>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104975.94</w:t>
            </w:r>
          </w:p>
        </w:tc>
        <w:tc>
          <w:tcPr>
            <w:tcW w:w="2220" w:type="dxa"/>
            <w:tcBorders>
              <w:top w:val="nil"/>
              <w:left w:val="nil"/>
              <w:bottom w:val="single" w:sz="4" w:space="0" w:color="auto"/>
              <w:right w:val="single" w:sz="4" w:space="0" w:color="auto"/>
            </w:tcBorders>
            <w:shd w:val="clear" w:color="auto" w:fill="auto"/>
            <w:vAlign w:val="bottom"/>
            <w:hideMark/>
          </w:tcPr>
          <w:p w14:paraId="6B8C51F3"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 xml:space="preserve">187/188 Oving Rd property </w:t>
            </w:r>
          </w:p>
        </w:tc>
        <w:tc>
          <w:tcPr>
            <w:tcW w:w="2020" w:type="dxa"/>
            <w:tcBorders>
              <w:top w:val="nil"/>
              <w:left w:val="nil"/>
              <w:bottom w:val="single" w:sz="4" w:space="0" w:color="auto"/>
              <w:right w:val="single" w:sz="4" w:space="0" w:color="auto"/>
            </w:tcBorders>
            <w:shd w:val="clear" w:color="auto" w:fill="auto"/>
            <w:vAlign w:val="bottom"/>
            <w:hideMark/>
          </w:tcPr>
          <w:p w14:paraId="0130CDBE" w14:textId="77777777" w:rsidR="00B355CE" w:rsidRPr="00B355CE" w:rsidRDefault="00B355CE" w:rsidP="00B355CE">
            <w:pPr>
              <w:spacing w:after="0" w:line="240" w:lineRule="auto"/>
              <w:rPr>
                <w:rFonts w:ascii="Calibri" w:eastAsia="Times New Roman" w:hAnsi="Calibri" w:cs="Times New Roman"/>
                <w:color w:val="000000"/>
                <w:lang w:eastAsia="en-GB"/>
              </w:rPr>
            </w:pPr>
            <w:r w:rsidRPr="00B355CE">
              <w:rPr>
                <w:rFonts w:ascii="Calibri" w:eastAsia="Times New Roman" w:hAnsi="Calibri" w:cs="Times New Roman"/>
                <w:color w:val="000000"/>
                <w:lang w:eastAsia="en-GB"/>
              </w:rPr>
              <w:t>SE of Oving Rd/A27</w:t>
            </w:r>
            <w:r w:rsidRPr="00B355CE">
              <w:rPr>
                <w:rFonts w:ascii="Calibri" w:eastAsia="Times New Roman" w:hAnsi="Calibri" w:cs="Times New Roman"/>
                <w:color w:val="000000"/>
                <w:lang w:eastAsia="en-GB"/>
              </w:rPr>
              <w:br/>
              <w:t>intersection</w:t>
            </w:r>
          </w:p>
        </w:tc>
      </w:tr>
    </w:tbl>
    <w:p w14:paraId="0049A58A" w14:textId="77777777" w:rsidR="00291121" w:rsidRDefault="00291121"/>
    <w:p w14:paraId="24604400" w14:textId="77777777" w:rsidR="00947DF1" w:rsidRPr="00947DF1" w:rsidRDefault="00947DF1" w:rsidP="00947DF1">
      <w:pPr>
        <w:pStyle w:val="Caption"/>
        <w:keepNext/>
        <w:spacing w:after="0"/>
        <w:rPr>
          <w:rFonts w:ascii="Calibri" w:eastAsia="Times New Roman" w:hAnsi="Calibri" w:cs="Times New Roman"/>
          <w:b w:val="0"/>
          <w:bCs w:val="0"/>
          <w:color w:val="000000"/>
          <w:sz w:val="22"/>
          <w:szCs w:val="22"/>
          <w:lang w:eastAsia="en-GB"/>
        </w:rPr>
      </w:pPr>
      <w:r w:rsidRPr="00947DF1">
        <w:rPr>
          <w:rFonts w:ascii="Calibri" w:eastAsia="Times New Roman" w:hAnsi="Calibri" w:cs="Times New Roman"/>
          <w:bCs w:val="0"/>
          <w:color w:val="000000"/>
          <w:sz w:val="22"/>
          <w:szCs w:val="22"/>
          <w:lang w:eastAsia="en-GB"/>
        </w:rPr>
        <w:t xml:space="preserve">Table </w:t>
      </w:r>
      <w:r w:rsidRPr="00947DF1">
        <w:rPr>
          <w:rFonts w:ascii="Calibri" w:eastAsia="Times New Roman" w:hAnsi="Calibri" w:cs="Times New Roman"/>
          <w:bCs w:val="0"/>
          <w:color w:val="000000"/>
          <w:sz w:val="22"/>
          <w:szCs w:val="22"/>
          <w:lang w:eastAsia="en-GB"/>
        </w:rPr>
        <w:fldChar w:fldCharType="begin"/>
      </w:r>
      <w:r w:rsidRPr="00947DF1">
        <w:rPr>
          <w:rFonts w:ascii="Calibri" w:eastAsia="Times New Roman" w:hAnsi="Calibri" w:cs="Times New Roman"/>
          <w:bCs w:val="0"/>
          <w:color w:val="000000"/>
          <w:sz w:val="22"/>
          <w:szCs w:val="22"/>
          <w:lang w:eastAsia="en-GB"/>
        </w:rPr>
        <w:instrText xml:space="preserve"> SEQ Table \* ARABIC </w:instrText>
      </w:r>
      <w:r w:rsidRPr="00947DF1">
        <w:rPr>
          <w:rFonts w:ascii="Calibri" w:eastAsia="Times New Roman" w:hAnsi="Calibri" w:cs="Times New Roman"/>
          <w:bCs w:val="0"/>
          <w:color w:val="000000"/>
          <w:sz w:val="22"/>
          <w:szCs w:val="22"/>
          <w:lang w:eastAsia="en-GB"/>
        </w:rPr>
        <w:fldChar w:fldCharType="separate"/>
      </w:r>
      <w:r w:rsidRPr="00947DF1">
        <w:rPr>
          <w:rFonts w:ascii="Calibri" w:eastAsia="Times New Roman" w:hAnsi="Calibri" w:cs="Times New Roman"/>
          <w:bCs w:val="0"/>
          <w:color w:val="000000"/>
          <w:sz w:val="22"/>
          <w:szCs w:val="22"/>
          <w:lang w:eastAsia="en-GB"/>
        </w:rPr>
        <w:t>9</w:t>
      </w:r>
      <w:r w:rsidRPr="00947DF1">
        <w:rPr>
          <w:rFonts w:ascii="Calibri" w:eastAsia="Times New Roman" w:hAnsi="Calibri" w:cs="Times New Roman"/>
          <w:bCs w:val="0"/>
          <w:color w:val="000000"/>
          <w:sz w:val="22"/>
          <w:szCs w:val="22"/>
          <w:lang w:eastAsia="en-GB"/>
        </w:rPr>
        <w:fldChar w:fldCharType="end"/>
      </w:r>
      <w:r w:rsidRPr="00947DF1">
        <w:rPr>
          <w:rFonts w:ascii="Calibri" w:eastAsia="Times New Roman" w:hAnsi="Calibri" w:cs="Times New Roman"/>
          <w:bCs w:val="0"/>
          <w:color w:val="000000"/>
          <w:sz w:val="22"/>
          <w:szCs w:val="22"/>
          <w:lang w:eastAsia="en-GB"/>
        </w:rPr>
        <w:t>:</w:t>
      </w:r>
      <w:r w:rsidRPr="00947DF1">
        <w:rPr>
          <w:rFonts w:ascii="Calibri" w:eastAsia="Times New Roman" w:hAnsi="Calibri" w:cs="Times New Roman"/>
          <w:b w:val="0"/>
          <w:bCs w:val="0"/>
          <w:color w:val="000000"/>
          <w:sz w:val="22"/>
          <w:szCs w:val="22"/>
          <w:lang w:eastAsia="en-GB"/>
        </w:rPr>
        <w:t xml:space="preserve"> Midhurst receptor locations:</w:t>
      </w:r>
    </w:p>
    <w:tbl>
      <w:tblPr>
        <w:tblW w:w="6600" w:type="dxa"/>
        <w:tblInd w:w="93" w:type="dxa"/>
        <w:tblLook w:val="04A0" w:firstRow="1" w:lastRow="0" w:firstColumn="1" w:lastColumn="0" w:noHBand="0" w:noVBand="1"/>
      </w:tblPr>
      <w:tblGrid>
        <w:gridCol w:w="1700"/>
        <w:gridCol w:w="1380"/>
        <w:gridCol w:w="1300"/>
        <w:gridCol w:w="2220"/>
      </w:tblGrid>
      <w:tr w:rsidR="00291121" w:rsidRPr="00291121" w14:paraId="3133FB11" w14:textId="77777777" w:rsidTr="00291121">
        <w:trPr>
          <w:trHeight w:val="300"/>
        </w:trPr>
        <w:tc>
          <w:tcPr>
            <w:tcW w:w="66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D7591" w14:textId="77777777" w:rsidR="00291121" w:rsidRPr="00291121" w:rsidRDefault="00291121" w:rsidP="00291121">
            <w:pPr>
              <w:spacing w:after="0" w:line="240" w:lineRule="auto"/>
              <w:jc w:val="center"/>
              <w:rPr>
                <w:rFonts w:ascii="Calibri" w:eastAsia="Times New Roman" w:hAnsi="Calibri" w:cs="Times New Roman"/>
                <w:b/>
                <w:bCs/>
                <w:color w:val="000000"/>
                <w:lang w:eastAsia="en-GB"/>
              </w:rPr>
            </w:pPr>
            <w:r w:rsidRPr="00291121">
              <w:rPr>
                <w:rFonts w:ascii="Calibri" w:eastAsia="Times New Roman" w:hAnsi="Calibri" w:cs="Times New Roman"/>
                <w:b/>
                <w:bCs/>
                <w:color w:val="000000"/>
                <w:lang w:eastAsia="en-GB"/>
              </w:rPr>
              <w:t>Midhurst receptor locations</w:t>
            </w:r>
          </w:p>
        </w:tc>
      </w:tr>
      <w:tr w:rsidR="00291121" w:rsidRPr="00291121" w14:paraId="79196E1A" w14:textId="77777777" w:rsidTr="00291121">
        <w:trPr>
          <w:trHeight w:val="300"/>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32338847" w14:textId="77777777" w:rsidR="00291121" w:rsidRPr="00291121" w:rsidRDefault="00291121" w:rsidP="00291121">
            <w:pPr>
              <w:spacing w:after="0" w:line="240" w:lineRule="auto"/>
              <w:rPr>
                <w:rFonts w:ascii="Calibri" w:eastAsia="Times New Roman" w:hAnsi="Calibri" w:cs="Times New Roman"/>
                <w:b/>
                <w:bCs/>
                <w:color w:val="000000"/>
                <w:lang w:eastAsia="en-GB"/>
              </w:rPr>
            </w:pPr>
            <w:r w:rsidRPr="00291121">
              <w:rPr>
                <w:rFonts w:ascii="Calibri" w:eastAsia="Times New Roman" w:hAnsi="Calibri" w:cs="Times New Roman"/>
                <w:b/>
                <w:bCs/>
                <w:color w:val="000000"/>
                <w:lang w:eastAsia="en-GB"/>
              </w:rPr>
              <w:t>Receptor ID</w:t>
            </w:r>
          </w:p>
        </w:tc>
        <w:tc>
          <w:tcPr>
            <w:tcW w:w="1380" w:type="dxa"/>
            <w:tcBorders>
              <w:top w:val="nil"/>
              <w:left w:val="nil"/>
              <w:bottom w:val="single" w:sz="4" w:space="0" w:color="auto"/>
              <w:right w:val="single" w:sz="4" w:space="0" w:color="auto"/>
            </w:tcBorders>
            <w:shd w:val="clear" w:color="auto" w:fill="auto"/>
            <w:noWrap/>
            <w:vAlign w:val="bottom"/>
            <w:hideMark/>
          </w:tcPr>
          <w:p w14:paraId="7DFFE21B" w14:textId="77777777" w:rsidR="00291121" w:rsidRPr="00291121" w:rsidRDefault="00291121" w:rsidP="00291121">
            <w:pPr>
              <w:spacing w:after="0" w:line="240" w:lineRule="auto"/>
              <w:jc w:val="center"/>
              <w:rPr>
                <w:rFonts w:ascii="Calibri" w:eastAsia="Times New Roman" w:hAnsi="Calibri" w:cs="Times New Roman"/>
                <w:b/>
                <w:bCs/>
                <w:color w:val="000000"/>
                <w:lang w:eastAsia="en-GB"/>
              </w:rPr>
            </w:pPr>
            <w:r w:rsidRPr="00291121">
              <w:rPr>
                <w:rFonts w:ascii="Calibri" w:eastAsia="Times New Roman" w:hAnsi="Calibri" w:cs="Times New Roman"/>
                <w:b/>
                <w:bCs/>
                <w:color w:val="000000"/>
                <w:lang w:eastAsia="en-GB"/>
              </w:rPr>
              <w:t>NGR X</w:t>
            </w:r>
          </w:p>
        </w:tc>
        <w:tc>
          <w:tcPr>
            <w:tcW w:w="1300" w:type="dxa"/>
            <w:tcBorders>
              <w:top w:val="nil"/>
              <w:left w:val="nil"/>
              <w:bottom w:val="single" w:sz="4" w:space="0" w:color="auto"/>
              <w:right w:val="single" w:sz="4" w:space="0" w:color="auto"/>
            </w:tcBorders>
            <w:shd w:val="clear" w:color="auto" w:fill="auto"/>
            <w:noWrap/>
            <w:vAlign w:val="bottom"/>
            <w:hideMark/>
          </w:tcPr>
          <w:p w14:paraId="5C922F9A" w14:textId="77777777" w:rsidR="00291121" w:rsidRPr="00291121" w:rsidRDefault="00291121" w:rsidP="00291121">
            <w:pPr>
              <w:spacing w:after="0" w:line="240" w:lineRule="auto"/>
              <w:jc w:val="center"/>
              <w:rPr>
                <w:rFonts w:ascii="Calibri" w:eastAsia="Times New Roman" w:hAnsi="Calibri" w:cs="Times New Roman"/>
                <w:b/>
                <w:bCs/>
                <w:color w:val="000000"/>
                <w:lang w:eastAsia="en-GB"/>
              </w:rPr>
            </w:pPr>
            <w:r w:rsidRPr="00291121">
              <w:rPr>
                <w:rFonts w:ascii="Calibri" w:eastAsia="Times New Roman" w:hAnsi="Calibri" w:cs="Times New Roman"/>
                <w:b/>
                <w:bCs/>
                <w:color w:val="000000"/>
                <w:lang w:eastAsia="en-GB"/>
              </w:rPr>
              <w:t>NGR Y</w:t>
            </w:r>
          </w:p>
        </w:tc>
        <w:tc>
          <w:tcPr>
            <w:tcW w:w="2220" w:type="dxa"/>
            <w:tcBorders>
              <w:top w:val="nil"/>
              <w:left w:val="nil"/>
              <w:bottom w:val="single" w:sz="4" w:space="0" w:color="auto"/>
              <w:right w:val="single" w:sz="4" w:space="0" w:color="auto"/>
            </w:tcBorders>
            <w:shd w:val="clear" w:color="auto" w:fill="auto"/>
            <w:vAlign w:val="bottom"/>
            <w:hideMark/>
          </w:tcPr>
          <w:p w14:paraId="6F390248" w14:textId="77777777" w:rsidR="00291121" w:rsidRPr="00291121" w:rsidRDefault="00291121" w:rsidP="00291121">
            <w:pPr>
              <w:spacing w:after="0" w:line="240" w:lineRule="auto"/>
              <w:jc w:val="center"/>
              <w:rPr>
                <w:rFonts w:ascii="OpenSans" w:eastAsia="Times New Roman" w:hAnsi="OpenSans" w:cs="Times New Roman"/>
                <w:b/>
                <w:bCs/>
                <w:color w:val="000000"/>
                <w:sz w:val="18"/>
                <w:szCs w:val="18"/>
                <w:lang w:eastAsia="en-GB"/>
              </w:rPr>
            </w:pPr>
            <w:r w:rsidRPr="00291121">
              <w:rPr>
                <w:rFonts w:ascii="Calibri" w:eastAsia="Times New Roman" w:hAnsi="Calibri" w:cs="Times New Roman"/>
                <w:b/>
                <w:bCs/>
                <w:color w:val="000000"/>
                <w:lang w:eastAsia="en-GB"/>
              </w:rPr>
              <w:t>Location description:</w:t>
            </w:r>
          </w:p>
        </w:tc>
      </w:tr>
      <w:tr w:rsidR="00291121" w:rsidRPr="00291121" w14:paraId="1BA16DE8" w14:textId="77777777" w:rsidTr="00291121">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5FA1D5A7" w14:textId="77777777" w:rsidR="00291121" w:rsidRPr="00291121" w:rsidRDefault="00291121" w:rsidP="00291121">
            <w:pPr>
              <w:spacing w:after="0" w:line="240" w:lineRule="auto"/>
              <w:rPr>
                <w:rFonts w:ascii="Calibri" w:eastAsia="Times New Roman" w:hAnsi="Calibri" w:cs="Times New Roman"/>
                <w:color w:val="000000"/>
                <w:lang w:eastAsia="en-GB"/>
              </w:rPr>
            </w:pPr>
            <w:r w:rsidRPr="00291121">
              <w:rPr>
                <w:rFonts w:ascii="Calibri" w:eastAsia="Times New Roman" w:hAnsi="Calibri" w:cs="Times New Roman"/>
                <w:color w:val="000000"/>
                <w:lang w:eastAsia="en-GB"/>
              </w:rPr>
              <w:t>14</w:t>
            </w:r>
          </w:p>
        </w:tc>
        <w:tc>
          <w:tcPr>
            <w:tcW w:w="1380" w:type="dxa"/>
            <w:tcBorders>
              <w:top w:val="nil"/>
              <w:left w:val="nil"/>
              <w:bottom w:val="single" w:sz="4" w:space="0" w:color="auto"/>
              <w:right w:val="single" w:sz="4" w:space="0" w:color="auto"/>
            </w:tcBorders>
            <w:shd w:val="clear" w:color="auto" w:fill="auto"/>
            <w:vAlign w:val="center"/>
            <w:hideMark/>
          </w:tcPr>
          <w:p w14:paraId="5E8E4B65" w14:textId="77777777" w:rsidR="00291121" w:rsidRPr="00291121" w:rsidRDefault="00291121" w:rsidP="00291121">
            <w:pPr>
              <w:spacing w:after="0" w:line="240" w:lineRule="auto"/>
              <w:jc w:val="center"/>
              <w:rPr>
                <w:rFonts w:ascii="Calibri" w:eastAsia="Times New Roman" w:hAnsi="Calibri" w:cs="Times New Roman"/>
                <w:color w:val="000000"/>
                <w:lang w:eastAsia="en-GB"/>
              </w:rPr>
            </w:pPr>
            <w:r w:rsidRPr="00291121">
              <w:rPr>
                <w:rFonts w:ascii="Calibri" w:eastAsia="Times New Roman" w:hAnsi="Calibri" w:cs="Times New Roman"/>
                <w:color w:val="000000"/>
                <w:lang w:eastAsia="en-GB"/>
              </w:rPr>
              <w:t>488559.88</w:t>
            </w:r>
          </w:p>
        </w:tc>
        <w:tc>
          <w:tcPr>
            <w:tcW w:w="1300" w:type="dxa"/>
            <w:tcBorders>
              <w:top w:val="nil"/>
              <w:left w:val="nil"/>
              <w:bottom w:val="single" w:sz="4" w:space="0" w:color="auto"/>
              <w:right w:val="single" w:sz="4" w:space="0" w:color="auto"/>
            </w:tcBorders>
            <w:shd w:val="clear" w:color="auto" w:fill="auto"/>
            <w:vAlign w:val="center"/>
            <w:hideMark/>
          </w:tcPr>
          <w:p w14:paraId="13EF58D5" w14:textId="77777777" w:rsidR="00291121" w:rsidRPr="00291121" w:rsidRDefault="00291121" w:rsidP="00291121">
            <w:pPr>
              <w:spacing w:after="0" w:line="240" w:lineRule="auto"/>
              <w:jc w:val="center"/>
              <w:rPr>
                <w:rFonts w:ascii="Calibri" w:eastAsia="Times New Roman" w:hAnsi="Calibri" w:cs="Times New Roman"/>
                <w:color w:val="000000"/>
                <w:lang w:eastAsia="en-GB"/>
              </w:rPr>
            </w:pPr>
            <w:r w:rsidRPr="00291121">
              <w:rPr>
                <w:rFonts w:ascii="Calibri" w:eastAsia="Times New Roman" w:hAnsi="Calibri" w:cs="Times New Roman"/>
                <w:color w:val="000000"/>
                <w:lang w:eastAsia="en-GB"/>
              </w:rPr>
              <w:t>121478.29</w:t>
            </w:r>
          </w:p>
        </w:tc>
        <w:tc>
          <w:tcPr>
            <w:tcW w:w="2220" w:type="dxa"/>
            <w:tcBorders>
              <w:top w:val="nil"/>
              <w:left w:val="nil"/>
              <w:bottom w:val="single" w:sz="4" w:space="0" w:color="auto"/>
              <w:right w:val="single" w:sz="4" w:space="0" w:color="auto"/>
            </w:tcBorders>
            <w:shd w:val="clear" w:color="auto" w:fill="auto"/>
            <w:vAlign w:val="center"/>
            <w:hideMark/>
          </w:tcPr>
          <w:p w14:paraId="602F8F83" w14:textId="77777777" w:rsidR="00291121" w:rsidRPr="00291121" w:rsidRDefault="00291121" w:rsidP="00291121">
            <w:pPr>
              <w:spacing w:after="0" w:line="240" w:lineRule="auto"/>
              <w:rPr>
                <w:rFonts w:ascii="Calibri" w:eastAsia="Times New Roman" w:hAnsi="Calibri" w:cs="Times New Roman"/>
                <w:color w:val="000000"/>
                <w:lang w:eastAsia="en-GB"/>
              </w:rPr>
            </w:pPr>
            <w:r w:rsidRPr="00291121">
              <w:rPr>
                <w:rFonts w:ascii="Calibri" w:eastAsia="Times New Roman" w:hAnsi="Calibri" w:cs="Times New Roman"/>
                <w:color w:val="000000"/>
                <w:lang w:eastAsia="en-GB"/>
              </w:rPr>
              <w:t>Rumbold’s Hill</w:t>
            </w:r>
          </w:p>
        </w:tc>
      </w:tr>
      <w:tr w:rsidR="00291121" w:rsidRPr="00291121" w14:paraId="00E02480" w14:textId="77777777" w:rsidTr="00291121">
        <w:trPr>
          <w:trHeight w:val="48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1B02248A" w14:textId="77777777" w:rsidR="00291121" w:rsidRPr="00291121" w:rsidRDefault="00291121" w:rsidP="00291121">
            <w:pPr>
              <w:spacing w:after="0" w:line="240" w:lineRule="auto"/>
              <w:rPr>
                <w:rFonts w:ascii="Calibri" w:eastAsia="Times New Roman" w:hAnsi="Calibri" w:cs="Times New Roman"/>
                <w:color w:val="000000"/>
                <w:lang w:eastAsia="en-GB"/>
              </w:rPr>
            </w:pPr>
            <w:r w:rsidRPr="00291121">
              <w:rPr>
                <w:rFonts w:ascii="Calibri" w:eastAsia="Times New Roman" w:hAnsi="Calibri" w:cs="Times New Roman"/>
                <w:color w:val="000000"/>
                <w:lang w:eastAsia="en-GB"/>
              </w:rPr>
              <w:t>18</w:t>
            </w:r>
          </w:p>
        </w:tc>
        <w:tc>
          <w:tcPr>
            <w:tcW w:w="1380" w:type="dxa"/>
            <w:tcBorders>
              <w:top w:val="nil"/>
              <w:left w:val="nil"/>
              <w:bottom w:val="single" w:sz="4" w:space="0" w:color="auto"/>
              <w:right w:val="single" w:sz="4" w:space="0" w:color="auto"/>
            </w:tcBorders>
            <w:shd w:val="clear" w:color="auto" w:fill="auto"/>
            <w:vAlign w:val="center"/>
            <w:hideMark/>
          </w:tcPr>
          <w:p w14:paraId="3C409202" w14:textId="77777777" w:rsidR="00291121" w:rsidRPr="00291121" w:rsidRDefault="00291121" w:rsidP="00291121">
            <w:pPr>
              <w:spacing w:after="0" w:line="240" w:lineRule="auto"/>
              <w:jc w:val="center"/>
              <w:rPr>
                <w:rFonts w:ascii="Calibri" w:eastAsia="Times New Roman" w:hAnsi="Calibri" w:cs="Times New Roman"/>
                <w:color w:val="000000"/>
                <w:lang w:eastAsia="en-GB"/>
              </w:rPr>
            </w:pPr>
            <w:r w:rsidRPr="00291121">
              <w:rPr>
                <w:rFonts w:ascii="Calibri" w:eastAsia="Times New Roman" w:hAnsi="Calibri" w:cs="Times New Roman"/>
                <w:color w:val="000000"/>
                <w:lang w:eastAsia="en-GB"/>
              </w:rPr>
              <w:t>488544.69</w:t>
            </w:r>
          </w:p>
        </w:tc>
        <w:tc>
          <w:tcPr>
            <w:tcW w:w="1300" w:type="dxa"/>
            <w:tcBorders>
              <w:top w:val="nil"/>
              <w:left w:val="nil"/>
              <w:bottom w:val="single" w:sz="4" w:space="0" w:color="auto"/>
              <w:right w:val="single" w:sz="4" w:space="0" w:color="auto"/>
            </w:tcBorders>
            <w:shd w:val="clear" w:color="auto" w:fill="auto"/>
            <w:vAlign w:val="center"/>
            <w:hideMark/>
          </w:tcPr>
          <w:p w14:paraId="142E2255" w14:textId="77777777" w:rsidR="00291121" w:rsidRPr="00291121" w:rsidRDefault="00291121" w:rsidP="00291121">
            <w:pPr>
              <w:spacing w:after="0" w:line="240" w:lineRule="auto"/>
              <w:jc w:val="center"/>
              <w:rPr>
                <w:rFonts w:ascii="Calibri" w:eastAsia="Times New Roman" w:hAnsi="Calibri" w:cs="Times New Roman"/>
                <w:color w:val="000000"/>
                <w:lang w:eastAsia="en-GB"/>
              </w:rPr>
            </w:pPr>
            <w:r w:rsidRPr="00291121">
              <w:rPr>
                <w:rFonts w:ascii="Calibri" w:eastAsia="Times New Roman" w:hAnsi="Calibri" w:cs="Times New Roman"/>
                <w:color w:val="000000"/>
                <w:lang w:eastAsia="en-GB"/>
              </w:rPr>
              <w:t>121434.01</w:t>
            </w:r>
          </w:p>
        </w:tc>
        <w:tc>
          <w:tcPr>
            <w:tcW w:w="2220" w:type="dxa"/>
            <w:tcBorders>
              <w:top w:val="nil"/>
              <w:left w:val="nil"/>
              <w:bottom w:val="single" w:sz="4" w:space="0" w:color="auto"/>
              <w:right w:val="single" w:sz="4" w:space="0" w:color="auto"/>
            </w:tcBorders>
            <w:shd w:val="clear" w:color="auto" w:fill="auto"/>
            <w:vAlign w:val="center"/>
            <w:hideMark/>
          </w:tcPr>
          <w:p w14:paraId="48E7D4EB" w14:textId="77777777" w:rsidR="00291121" w:rsidRPr="00291121" w:rsidRDefault="00291121" w:rsidP="00291121">
            <w:pPr>
              <w:spacing w:after="0" w:line="240" w:lineRule="auto"/>
              <w:rPr>
                <w:rFonts w:ascii="Calibri" w:eastAsia="Times New Roman" w:hAnsi="Calibri" w:cs="Times New Roman"/>
                <w:color w:val="000000"/>
                <w:lang w:eastAsia="en-GB"/>
              </w:rPr>
            </w:pPr>
            <w:r w:rsidRPr="00291121">
              <w:rPr>
                <w:rFonts w:ascii="Calibri" w:eastAsia="Times New Roman" w:hAnsi="Calibri" w:cs="Times New Roman"/>
                <w:color w:val="000000"/>
                <w:lang w:eastAsia="en-GB"/>
              </w:rPr>
              <w:t>Rumbold’s Hill (Stationary Shop)</w:t>
            </w:r>
          </w:p>
        </w:tc>
      </w:tr>
      <w:tr w:rsidR="00291121" w:rsidRPr="00291121" w14:paraId="2DCB9F32" w14:textId="77777777" w:rsidTr="00291121">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31E4EFE8" w14:textId="77777777" w:rsidR="00291121" w:rsidRPr="00291121" w:rsidRDefault="00291121" w:rsidP="00291121">
            <w:pPr>
              <w:spacing w:after="0" w:line="240" w:lineRule="auto"/>
              <w:rPr>
                <w:rFonts w:ascii="Calibri" w:eastAsia="Times New Roman" w:hAnsi="Calibri" w:cs="Times New Roman"/>
                <w:color w:val="000000"/>
                <w:lang w:eastAsia="en-GB"/>
              </w:rPr>
            </w:pPr>
            <w:r w:rsidRPr="00291121">
              <w:rPr>
                <w:rFonts w:ascii="Calibri" w:eastAsia="Times New Roman" w:hAnsi="Calibri" w:cs="Times New Roman"/>
                <w:color w:val="000000"/>
                <w:lang w:eastAsia="en-GB"/>
              </w:rPr>
              <w:t>19</w:t>
            </w:r>
          </w:p>
        </w:tc>
        <w:tc>
          <w:tcPr>
            <w:tcW w:w="1380" w:type="dxa"/>
            <w:tcBorders>
              <w:top w:val="nil"/>
              <w:left w:val="nil"/>
              <w:bottom w:val="single" w:sz="4" w:space="0" w:color="auto"/>
              <w:right w:val="single" w:sz="4" w:space="0" w:color="auto"/>
            </w:tcBorders>
            <w:shd w:val="clear" w:color="auto" w:fill="auto"/>
            <w:vAlign w:val="center"/>
            <w:hideMark/>
          </w:tcPr>
          <w:p w14:paraId="36D473F8" w14:textId="77777777" w:rsidR="00291121" w:rsidRPr="00291121" w:rsidRDefault="00291121" w:rsidP="00291121">
            <w:pPr>
              <w:spacing w:after="0" w:line="240" w:lineRule="auto"/>
              <w:jc w:val="center"/>
              <w:rPr>
                <w:rFonts w:ascii="Calibri" w:eastAsia="Times New Roman" w:hAnsi="Calibri" w:cs="Times New Roman"/>
                <w:color w:val="000000"/>
                <w:lang w:eastAsia="en-GB"/>
              </w:rPr>
            </w:pPr>
            <w:r w:rsidRPr="00291121">
              <w:rPr>
                <w:rFonts w:ascii="Calibri" w:eastAsia="Times New Roman" w:hAnsi="Calibri" w:cs="Times New Roman"/>
                <w:color w:val="000000"/>
                <w:lang w:eastAsia="en-GB"/>
              </w:rPr>
              <w:t>488583.53</w:t>
            </w:r>
          </w:p>
        </w:tc>
        <w:tc>
          <w:tcPr>
            <w:tcW w:w="1300" w:type="dxa"/>
            <w:tcBorders>
              <w:top w:val="nil"/>
              <w:left w:val="nil"/>
              <w:bottom w:val="single" w:sz="4" w:space="0" w:color="auto"/>
              <w:right w:val="single" w:sz="4" w:space="0" w:color="auto"/>
            </w:tcBorders>
            <w:shd w:val="clear" w:color="auto" w:fill="auto"/>
            <w:vAlign w:val="center"/>
            <w:hideMark/>
          </w:tcPr>
          <w:p w14:paraId="0F71CA86" w14:textId="77777777" w:rsidR="00291121" w:rsidRPr="00291121" w:rsidRDefault="00291121" w:rsidP="00291121">
            <w:pPr>
              <w:spacing w:after="0" w:line="240" w:lineRule="auto"/>
              <w:jc w:val="center"/>
              <w:rPr>
                <w:rFonts w:ascii="Calibri" w:eastAsia="Times New Roman" w:hAnsi="Calibri" w:cs="Times New Roman"/>
                <w:color w:val="000000"/>
                <w:lang w:eastAsia="en-GB"/>
              </w:rPr>
            </w:pPr>
            <w:r w:rsidRPr="00291121">
              <w:rPr>
                <w:rFonts w:ascii="Calibri" w:eastAsia="Times New Roman" w:hAnsi="Calibri" w:cs="Times New Roman"/>
                <w:color w:val="000000"/>
                <w:lang w:eastAsia="en-GB"/>
              </w:rPr>
              <w:t>121511.69</w:t>
            </w:r>
          </w:p>
        </w:tc>
        <w:tc>
          <w:tcPr>
            <w:tcW w:w="2220" w:type="dxa"/>
            <w:tcBorders>
              <w:top w:val="nil"/>
              <w:left w:val="nil"/>
              <w:bottom w:val="single" w:sz="4" w:space="0" w:color="auto"/>
              <w:right w:val="single" w:sz="4" w:space="0" w:color="auto"/>
            </w:tcBorders>
            <w:shd w:val="clear" w:color="auto" w:fill="auto"/>
            <w:vAlign w:val="center"/>
            <w:hideMark/>
          </w:tcPr>
          <w:p w14:paraId="1B73352C" w14:textId="77777777" w:rsidR="00291121" w:rsidRPr="00291121" w:rsidRDefault="00291121" w:rsidP="00291121">
            <w:pPr>
              <w:spacing w:after="0" w:line="240" w:lineRule="auto"/>
              <w:rPr>
                <w:rFonts w:ascii="Calibri" w:eastAsia="Times New Roman" w:hAnsi="Calibri" w:cs="Times New Roman"/>
                <w:color w:val="000000"/>
                <w:lang w:eastAsia="en-GB"/>
              </w:rPr>
            </w:pPr>
            <w:r w:rsidRPr="00291121">
              <w:rPr>
                <w:rFonts w:ascii="Calibri" w:eastAsia="Times New Roman" w:hAnsi="Calibri" w:cs="Times New Roman"/>
                <w:color w:val="000000"/>
                <w:lang w:eastAsia="en-GB"/>
              </w:rPr>
              <w:t>Rumbold’s Hill (Natwest)</w:t>
            </w:r>
          </w:p>
        </w:tc>
      </w:tr>
      <w:tr w:rsidR="00291121" w:rsidRPr="00291121" w14:paraId="4E4B66BF" w14:textId="77777777" w:rsidTr="00291121">
        <w:trPr>
          <w:trHeight w:val="48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77A6FC34" w14:textId="77777777" w:rsidR="00291121" w:rsidRPr="00291121" w:rsidRDefault="00291121" w:rsidP="00291121">
            <w:pPr>
              <w:spacing w:after="0" w:line="240" w:lineRule="auto"/>
              <w:rPr>
                <w:rFonts w:ascii="Calibri" w:eastAsia="Times New Roman" w:hAnsi="Calibri" w:cs="Times New Roman"/>
                <w:color w:val="000000"/>
                <w:lang w:eastAsia="en-GB"/>
              </w:rPr>
            </w:pPr>
            <w:r w:rsidRPr="00291121">
              <w:rPr>
                <w:rFonts w:ascii="Calibri" w:eastAsia="Times New Roman" w:hAnsi="Calibri" w:cs="Times New Roman"/>
                <w:color w:val="000000"/>
                <w:lang w:eastAsia="en-GB"/>
              </w:rPr>
              <w:t>20</w:t>
            </w:r>
          </w:p>
        </w:tc>
        <w:tc>
          <w:tcPr>
            <w:tcW w:w="1380" w:type="dxa"/>
            <w:tcBorders>
              <w:top w:val="nil"/>
              <w:left w:val="nil"/>
              <w:bottom w:val="single" w:sz="4" w:space="0" w:color="auto"/>
              <w:right w:val="single" w:sz="4" w:space="0" w:color="auto"/>
            </w:tcBorders>
            <w:shd w:val="clear" w:color="auto" w:fill="auto"/>
            <w:vAlign w:val="center"/>
            <w:hideMark/>
          </w:tcPr>
          <w:p w14:paraId="5C265C30" w14:textId="77777777" w:rsidR="00291121" w:rsidRPr="00291121" w:rsidRDefault="00291121" w:rsidP="00291121">
            <w:pPr>
              <w:spacing w:after="0" w:line="240" w:lineRule="auto"/>
              <w:jc w:val="center"/>
              <w:rPr>
                <w:rFonts w:ascii="Calibri" w:eastAsia="Times New Roman" w:hAnsi="Calibri" w:cs="Times New Roman"/>
                <w:color w:val="000000"/>
                <w:lang w:eastAsia="en-GB"/>
              </w:rPr>
            </w:pPr>
            <w:r w:rsidRPr="00291121">
              <w:rPr>
                <w:rFonts w:ascii="Calibri" w:eastAsia="Times New Roman" w:hAnsi="Calibri" w:cs="Times New Roman"/>
                <w:color w:val="000000"/>
                <w:lang w:eastAsia="en-GB"/>
              </w:rPr>
              <w:t>488601.94</w:t>
            </w:r>
          </w:p>
        </w:tc>
        <w:tc>
          <w:tcPr>
            <w:tcW w:w="1300" w:type="dxa"/>
            <w:tcBorders>
              <w:top w:val="nil"/>
              <w:left w:val="nil"/>
              <w:bottom w:val="single" w:sz="4" w:space="0" w:color="auto"/>
              <w:right w:val="single" w:sz="4" w:space="0" w:color="auto"/>
            </w:tcBorders>
            <w:shd w:val="clear" w:color="auto" w:fill="auto"/>
            <w:vAlign w:val="center"/>
            <w:hideMark/>
          </w:tcPr>
          <w:p w14:paraId="46AB7CAC" w14:textId="77777777" w:rsidR="00291121" w:rsidRPr="00291121" w:rsidRDefault="00291121" w:rsidP="00291121">
            <w:pPr>
              <w:spacing w:after="0" w:line="240" w:lineRule="auto"/>
              <w:jc w:val="center"/>
              <w:rPr>
                <w:rFonts w:ascii="Calibri" w:eastAsia="Times New Roman" w:hAnsi="Calibri" w:cs="Times New Roman"/>
                <w:color w:val="000000"/>
                <w:lang w:eastAsia="en-GB"/>
              </w:rPr>
            </w:pPr>
            <w:r w:rsidRPr="00291121">
              <w:rPr>
                <w:rFonts w:ascii="Calibri" w:eastAsia="Times New Roman" w:hAnsi="Calibri" w:cs="Times New Roman"/>
                <w:color w:val="000000"/>
                <w:lang w:eastAsia="en-GB"/>
              </w:rPr>
              <w:t>121538.76</w:t>
            </w:r>
          </w:p>
        </w:tc>
        <w:tc>
          <w:tcPr>
            <w:tcW w:w="2220" w:type="dxa"/>
            <w:tcBorders>
              <w:top w:val="nil"/>
              <w:left w:val="nil"/>
              <w:bottom w:val="single" w:sz="4" w:space="0" w:color="auto"/>
              <w:right w:val="single" w:sz="4" w:space="0" w:color="auto"/>
            </w:tcBorders>
            <w:shd w:val="clear" w:color="auto" w:fill="auto"/>
            <w:vAlign w:val="center"/>
            <w:hideMark/>
          </w:tcPr>
          <w:p w14:paraId="3BDAA727" w14:textId="77777777" w:rsidR="00291121" w:rsidRPr="00291121" w:rsidRDefault="00291121" w:rsidP="00291121">
            <w:pPr>
              <w:spacing w:after="0" w:line="240" w:lineRule="auto"/>
              <w:rPr>
                <w:rFonts w:ascii="Calibri" w:eastAsia="Times New Roman" w:hAnsi="Calibri" w:cs="Times New Roman"/>
                <w:color w:val="000000"/>
                <w:lang w:eastAsia="en-GB"/>
              </w:rPr>
            </w:pPr>
            <w:r w:rsidRPr="00291121">
              <w:rPr>
                <w:rFonts w:ascii="Calibri" w:eastAsia="Times New Roman" w:hAnsi="Calibri" w:cs="Times New Roman"/>
                <w:color w:val="000000"/>
                <w:lang w:eastAsia="en-GB"/>
              </w:rPr>
              <w:t>Rumbold’s Hill (Nationwide)</w:t>
            </w:r>
          </w:p>
        </w:tc>
      </w:tr>
      <w:tr w:rsidR="00291121" w:rsidRPr="00291121" w14:paraId="2EB881B2" w14:textId="77777777" w:rsidTr="00291121">
        <w:trPr>
          <w:trHeight w:val="300"/>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3DB19696" w14:textId="77777777" w:rsidR="00291121" w:rsidRPr="00291121" w:rsidRDefault="00291121" w:rsidP="00291121">
            <w:pPr>
              <w:spacing w:after="0" w:line="240" w:lineRule="auto"/>
              <w:rPr>
                <w:rFonts w:ascii="Calibri" w:eastAsia="Times New Roman" w:hAnsi="Calibri" w:cs="Times New Roman"/>
                <w:color w:val="000000"/>
                <w:lang w:eastAsia="en-GB"/>
              </w:rPr>
            </w:pPr>
            <w:r w:rsidRPr="00291121">
              <w:rPr>
                <w:rFonts w:ascii="Calibri" w:eastAsia="Times New Roman" w:hAnsi="Calibri" w:cs="Times New Roman"/>
                <w:color w:val="000000"/>
                <w:lang w:eastAsia="en-GB"/>
              </w:rPr>
              <w:t>21</w:t>
            </w:r>
          </w:p>
        </w:tc>
        <w:tc>
          <w:tcPr>
            <w:tcW w:w="1380" w:type="dxa"/>
            <w:tcBorders>
              <w:top w:val="nil"/>
              <w:left w:val="nil"/>
              <w:bottom w:val="single" w:sz="4" w:space="0" w:color="auto"/>
              <w:right w:val="single" w:sz="4" w:space="0" w:color="auto"/>
            </w:tcBorders>
            <w:shd w:val="clear" w:color="auto" w:fill="auto"/>
            <w:vAlign w:val="center"/>
            <w:hideMark/>
          </w:tcPr>
          <w:p w14:paraId="60EAD33B" w14:textId="77777777" w:rsidR="00291121" w:rsidRPr="00291121" w:rsidRDefault="00291121" w:rsidP="00291121">
            <w:pPr>
              <w:spacing w:after="0" w:line="240" w:lineRule="auto"/>
              <w:jc w:val="center"/>
              <w:rPr>
                <w:rFonts w:ascii="Calibri" w:eastAsia="Times New Roman" w:hAnsi="Calibri" w:cs="Times New Roman"/>
                <w:color w:val="000000"/>
                <w:lang w:eastAsia="en-GB"/>
              </w:rPr>
            </w:pPr>
            <w:r w:rsidRPr="00291121">
              <w:rPr>
                <w:rFonts w:ascii="Calibri" w:eastAsia="Times New Roman" w:hAnsi="Calibri" w:cs="Times New Roman"/>
                <w:color w:val="000000"/>
                <w:lang w:eastAsia="en-GB"/>
              </w:rPr>
              <w:t>488629.56</w:t>
            </w:r>
          </w:p>
        </w:tc>
        <w:tc>
          <w:tcPr>
            <w:tcW w:w="1300" w:type="dxa"/>
            <w:tcBorders>
              <w:top w:val="nil"/>
              <w:left w:val="nil"/>
              <w:bottom w:val="single" w:sz="4" w:space="0" w:color="auto"/>
              <w:right w:val="single" w:sz="4" w:space="0" w:color="auto"/>
            </w:tcBorders>
            <w:shd w:val="clear" w:color="auto" w:fill="auto"/>
            <w:vAlign w:val="center"/>
            <w:hideMark/>
          </w:tcPr>
          <w:p w14:paraId="2BB65700" w14:textId="77777777" w:rsidR="00291121" w:rsidRPr="00291121" w:rsidRDefault="00291121" w:rsidP="00291121">
            <w:pPr>
              <w:spacing w:after="0" w:line="240" w:lineRule="auto"/>
              <w:jc w:val="center"/>
              <w:rPr>
                <w:rFonts w:ascii="Calibri" w:eastAsia="Times New Roman" w:hAnsi="Calibri" w:cs="Times New Roman"/>
                <w:color w:val="000000"/>
                <w:lang w:eastAsia="en-GB"/>
              </w:rPr>
            </w:pPr>
            <w:r w:rsidRPr="00291121">
              <w:rPr>
                <w:rFonts w:ascii="Calibri" w:eastAsia="Times New Roman" w:hAnsi="Calibri" w:cs="Times New Roman"/>
                <w:color w:val="000000"/>
                <w:lang w:eastAsia="en-GB"/>
              </w:rPr>
              <w:t>121614.62</w:t>
            </w:r>
          </w:p>
        </w:tc>
        <w:tc>
          <w:tcPr>
            <w:tcW w:w="2220" w:type="dxa"/>
            <w:tcBorders>
              <w:top w:val="nil"/>
              <w:left w:val="nil"/>
              <w:bottom w:val="single" w:sz="4" w:space="0" w:color="auto"/>
              <w:right w:val="single" w:sz="4" w:space="0" w:color="auto"/>
            </w:tcBorders>
            <w:shd w:val="clear" w:color="auto" w:fill="auto"/>
            <w:vAlign w:val="center"/>
            <w:hideMark/>
          </w:tcPr>
          <w:p w14:paraId="0D34694E" w14:textId="77777777" w:rsidR="00291121" w:rsidRPr="00291121" w:rsidRDefault="00291121" w:rsidP="00291121">
            <w:pPr>
              <w:spacing w:after="0" w:line="240" w:lineRule="auto"/>
              <w:rPr>
                <w:rFonts w:ascii="Calibri" w:eastAsia="Times New Roman" w:hAnsi="Calibri" w:cs="Times New Roman"/>
                <w:color w:val="000000"/>
                <w:lang w:eastAsia="en-GB"/>
              </w:rPr>
            </w:pPr>
            <w:r w:rsidRPr="00291121">
              <w:rPr>
                <w:rFonts w:ascii="Calibri" w:eastAsia="Times New Roman" w:hAnsi="Calibri" w:cs="Times New Roman"/>
                <w:color w:val="000000"/>
                <w:lang w:eastAsia="en-GB"/>
              </w:rPr>
              <w:t>North Street (BHF)</w:t>
            </w:r>
          </w:p>
        </w:tc>
      </w:tr>
    </w:tbl>
    <w:p w14:paraId="77545184" w14:textId="77777777" w:rsidR="00291121" w:rsidRDefault="00291121" w:rsidP="00291121">
      <w:pPr>
        <w:spacing w:after="0"/>
      </w:pPr>
    </w:p>
    <w:p w14:paraId="78C83C92" w14:textId="233F626D" w:rsidR="001D1052" w:rsidRDefault="001D1052">
      <w:r>
        <w:lastRenderedPageBreak/>
        <w:t>The model outputs for PM</w:t>
      </w:r>
      <w:r w:rsidRPr="00F75DA9">
        <w:rPr>
          <w:vertAlign w:val="subscript"/>
        </w:rPr>
        <w:t>10</w:t>
      </w:r>
      <w:r>
        <w:t xml:space="preserve"> and PM</w:t>
      </w:r>
      <w:r w:rsidRPr="00F75DA9">
        <w:rPr>
          <w:vertAlign w:val="subscript"/>
        </w:rPr>
        <w:t>2.5</w:t>
      </w:r>
      <w:r>
        <w:t xml:space="preserve"> </w:t>
      </w:r>
      <w:r w:rsidR="000070D4">
        <w:t xml:space="preserve">are </w:t>
      </w:r>
      <w:r>
        <w:t xml:space="preserve">not presented here </w:t>
      </w:r>
      <w:r w:rsidR="001A0C8C">
        <w:t xml:space="preserve">as </w:t>
      </w:r>
      <w:r>
        <w:t xml:space="preserve">the </w:t>
      </w:r>
      <w:r w:rsidR="001A0C8C">
        <w:t xml:space="preserve">modelling output </w:t>
      </w:r>
      <w:r>
        <w:t>data predicted no exceedance of the short-term or annual-mean standards</w:t>
      </w:r>
      <w:r>
        <w:rPr>
          <w:rStyle w:val="FootnoteReference"/>
        </w:rPr>
        <w:footnoteReference w:id="29"/>
      </w:r>
      <w:r w:rsidR="00AF25F2">
        <w:t xml:space="preserve"> though the data is available in the air quality model reports</w:t>
      </w:r>
      <w:r w:rsidR="00AF25F2">
        <w:rPr>
          <w:rStyle w:val="FootnoteReference"/>
        </w:rPr>
        <w:footnoteReference w:id="30"/>
      </w:r>
      <w:r w:rsidR="00AF25F2">
        <w:t>.</w:t>
      </w:r>
    </w:p>
    <w:p w14:paraId="34C8A48D" w14:textId="77777777" w:rsidR="00A25434" w:rsidRPr="001A0C8C" w:rsidRDefault="001A0C8C">
      <w:pPr>
        <w:rPr>
          <w:b/>
        </w:rPr>
      </w:pPr>
      <w:r w:rsidRPr="001A0C8C">
        <w:rPr>
          <w:b/>
        </w:rPr>
        <w:t>Baseline model outputs discussion</w:t>
      </w:r>
    </w:p>
    <w:p w14:paraId="105D8446" w14:textId="299DC002" w:rsidR="00A25434" w:rsidRDefault="001A0C8C">
      <w:r w:rsidRPr="001A0C8C">
        <w:t xml:space="preserve">The model predicts improving air quality </w:t>
      </w:r>
      <w:r>
        <w:t xml:space="preserve">year-on-year </w:t>
      </w:r>
      <w:r w:rsidR="000F23B7">
        <w:t>to</w:t>
      </w:r>
      <w:r>
        <w:t xml:space="preserve"> the final years modelled (2025). Full compliance with the UK Air Quality Standards is predicted by 2024 with St Pancras being the last site to comply.</w:t>
      </w:r>
      <w:r w:rsidR="001A70F5">
        <w:t xml:space="preserve"> The model outputs are all verified against diffusion tube data for 2018, an adjustment factor is then applied to the model such that it accords well with monitored pollution concentrations in the baseline year (2018). The adjusted model performs well i</w:t>
      </w:r>
      <w:r w:rsidR="000070D4">
        <w:t>.</w:t>
      </w:r>
      <w:r w:rsidR="001A70F5">
        <w:t>e</w:t>
      </w:r>
      <w:r w:rsidR="000070D4">
        <w:t>.</w:t>
      </w:r>
      <w:r w:rsidR="001A70F5">
        <w:t xml:space="preserve"> </w:t>
      </w:r>
      <w:r w:rsidR="000070D4">
        <w:t xml:space="preserve">it </w:t>
      </w:r>
      <w:r w:rsidR="001A70F5">
        <w:t xml:space="preserve">predicts pollution concentration values close to monitored concentrations. Nevertheless the model </w:t>
      </w:r>
      <w:r w:rsidR="001A0E2C">
        <w:t>verification set-up is such that it predicts for a height of 3m which is the same height as the diffusion tubes’ exposure locations. When the model is run for pollution concentrations for LAQM purposes the pollution concentrations are modelled at a height of 1.5m ie in the breathing zone. Whilst this has not generally caused any anomalies it has caused some model performance issues for St Pancras. Further discussion of this point is as below.</w:t>
      </w:r>
    </w:p>
    <w:p w14:paraId="6EA83D1B" w14:textId="77777777" w:rsidR="001A0C8C" w:rsidRDefault="001A0C8C" w:rsidP="001A0C8C">
      <w:r>
        <w:rPr>
          <w:b/>
        </w:rPr>
        <w:t>Orchard Street</w:t>
      </w:r>
      <w:r w:rsidR="00FA17C4">
        <w:rPr>
          <w:b/>
        </w:rPr>
        <w:t>, Chichester</w:t>
      </w:r>
      <w:r>
        <w:rPr>
          <w:b/>
        </w:rPr>
        <w:t xml:space="preserve"> AQMA</w:t>
      </w:r>
    </w:p>
    <w:p w14:paraId="473D202E" w14:textId="77777777" w:rsidR="001A0C8C" w:rsidRDefault="001A0C8C">
      <w:r>
        <w:t xml:space="preserve">Orchard Street (Receptor location 12) is predicted to continue to have improved air quality </w:t>
      </w:r>
      <w:r w:rsidR="00B355CE">
        <w:t>and increased compliance</w:t>
      </w:r>
      <w:r w:rsidR="00B048A1">
        <w:t xml:space="preserve"> with the air quality standard</w:t>
      </w:r>
      <w:r w:rsidR="00B355CE">
        <w:t>. The modelled data confirms the conclusion that the AQMA is no longer commensurate with the measured and modelled data. As such the AQMA could be undeclared.</w:t>
      </w:r>
    </w:p>
    <w:p w14:paraId="0F0869CB" w14:textId="77777777" w:rsidR="00B355CE" w:rsidRPr="00B355CE" w:rsidRDefault="00B355CE">
      <w:pPr>
        <w:rPr>
          <w:b/>
        </w:rPr>
      </w:pPr>
      <w:r>
        <w:rPr>
          <w:b/>
        </w:rPr>
        <w:t>St Pancras</w:t>
      </w:r>
      <w:r w:rsidR="00FA17C4">
        <w:rPr>
          <w:b/>
        </w:rPr>
        <w:t>, Chichester</w:t>
      </w:r>
      <w:r>
        <w:rPr>
          <w:b/>
        </w:rPr>
        <w:t xml:space="preserve"> AQMA</w:t>
      </w:r>
    </w:p>
    <w:p w14:paraId="50CF457F" w14:textId="6CE17ECA" w:rsidR="001A0C8C" w:rsidRDefault="00B355CE">
      <w:r>
        <w:t xml:space="preserve">St Pancras (receptor location 10) is predicted to continue to have improving air quality leading to marginal compliance with the Air Quality Standard in 2024. </w:t>
      </w:r>
      <w:r w:rsidR="00947DF1">
        <w:t>Nevertheless the modelling does not compare to the monitoring data for this site; the modelled prediction for 2018 is 50.2µgm</w:t>
      </w:r>
      <w:r w:rsidR="00947DF1" w:rsidRPr="00947DF1">
        <w:rPr>
          <w:vertAlign w:val="superscript"/>
        </w:rPr>
        <w:t>-3</w:t>
      </w:r>
      <w:r w:rsidR="00947DF1">
        <w:t xml:space="preserve"> whereas the diffusion tube result for 2018 is 45</w:t>
      </w:r>
      <w:r w:rsidR="00947DF1" w:rsidRPr="00947DF1">
        <w:t xml:space="preserve"> </w:t>
      </w:r>
      <w:r w:rsidR="00947DF1">
        <w:t>µgm</w:t>
      </w:r>
      <w:r w:rsidR="00947DF1" w:rsidRPr="00947DF1">
        <w:rPr>
          <w:vertAlign w:val="superscript"/>
        </w:rPr>
        <w:t>-3</w:t>
      </w:r>
      <w:r w:rsidR="00947DF1">
        <w:t>, similarly the modelled result for 2019 is 47µgm</w:t>
      </w:r>
      <w:r w:rsidR="00947DF1" w:rsidRPr="00947DF1">
        <w:rPr>
          <w:vertAlign w:val="superscript"/>
        </w:rPr>
        <w:t>-3</w:t>
      </w:r>
      <w:r w:rsidR="00947DF1">
        <w:t xml:space="preserve"> against the measurement of 42</w:t>
      </w:r>
      <w:r w:rsidR="00947DF1" w:rsidRPr="00947DF1">
        <w:t xml:space="preserve"> </w:t>
      </w:r>
      <w:r w:rsidR="00947DF1">
        <w:t>µgm</w:t>
      </w:r>
      <w:r w:rsidR="00947DF1" w:rsidRPr="00947DF1">
        <w:rPr>
          <w:vertAlign w:val="superscript"/>
        </w:rPr>
        <w:t>-3</w:t>
      </w:r>
      <w:r w:rsidR="00947DF1">
        <w:t>. This apparent discrepancy, not observed to the same degree for other modelled locations</w:t>
      </w:r>
      <w:r w:rsidR="00BA00AF">
        <w:t>,</w:t>
      </w:r>
      <w:r w:rsidR="00947DF1">
        <w:t xml:space="preserve"> is explained by artefacts in the modelling software. In fact the model </w:t>
      </w:r>
      <w:r w:rsidR="00D665A9">
        <w:t xml:space="preserve">verification shows that the model performs well for St Pancras. The apparent discrepancy arises from the model verification being run for a height of 3m, which is the height of the diffusion tube exposure location, whereas the actual model run is for a height of 1.5m, ie the breathing zone. Nevertheless the </w:t>
      </w:r>
      <w:r w:rsidR="00B048A1">
        <w:t xml:space="preserve">modelled data’s </w:t>
      </w:r>
      <w:r w:rsidR="00D665A9">
        <w:t xml:space="preserve">discrepancy </w:t>
      </w:r>
      <w:r w:rsidR="00B048A1">
        <w:t xml:space="preserve">with the monitoring data </w:t>
      </w:r>
      <w:r w:rsidR="00D665A9">
        <w:t>at 1.5m is large and as such this needs to be borne in mind when designing a proportionate policy response.</w:t>
      </w:r>
      <w:r w:rsidR="00947DF1">
        <w:t xml:space="preserve"> </w:t>
      </w:r>
      <w:r w:rsidR="0051217D">
        <w:t>As such a watching brief is recommended to see how air quality in St Pancras changes in the period of this Plan</w:t>
      </w:r>
      <w:r w:rsidR="00D665A9">
        <w:t>, though it appears that the modelling here is significantly more pessimistic than the monitoring suggests.</w:t>
      </w:r>
    </w:p>
    <w:p w14:paraId="41245E7F" w14:textId="77777777" w:rsidR="00F17454" w:rsidRDefault="00F17454">
      <w:pPr>
        <w:rPr>
          <w:b/>
        </w:rPr>
      </w:pPr>
    </w:p>
    <w:p w14:paraId="51CD773E" w14:textId="77777777" w:rsidR="00F17454" w:rsidRDefault="00F17454">
      <w:pPr>
        <w:rPr>
          <w:b/>
        </w:rPr>
      </w:pPr>
    </w:p>
    <w:p w14:paraId="76926C28" w14:textId="2B4A05CE" w:rsidR="00B355CE" w:rsidRDefault="00B355CE">
      <w:pPr>
        <w:rPr>
          <w:b/>
        </w:rPr>
      </w:pPr>
      <w:r>
        <w:rPr>
          <w:b/>
        </w:rPr>
        <w:lastRenderedPageBreak/>
        <w:t>Stockbridge</w:t>
      </w:r>
      <w:r w:rsidR="00FA17C4">
        <w:rPr>
          <w:b/>
        </w:rPr>
        <w:t>, Chichester</w:t>
      </w:r>
      <w:r>
        <w:rPr>
          <w:b/>
        </w:rPr>
        <w:t xml:space="preserve"> AQMA</w:t>
      </w:r>
    </w:p>
    <w:p w14:paraId="6A4C3D81" w14:textId="77777777" w:rsidR="00B355CE" w:rsidRDefault="00FA17C4">
      <w:r>
        <w:t xml:space="preserve">Stockbridge </w:t>
      </w:r>
      <w:r w:rsidR="0051217D">
        <w:t xml:space="preserve">AQMA </w:t>
      </w:r>
      <w:r>
        <w:t>(receptor location</w:t>
      </w:r>
      <w:r w:rsidR="00B048A1">
        <w:t>s</w:t>
      </w:r>
      <w:r>
        <w:t xml:space="preserve"> 1 to 6) is predicted to continue to have improved air quality and significantly increased compliance with the AQS in 2025. This confirms the monitoring data and suggests that the AQMA could be undeclared.</w:t>
      </w:r>
    </w:p>
    <w:p w14:paraId="09E06B30" w14:textId="77777777" w:rsidR="00FA17C4" w:rsidRDefault="00FA17C4">
      <w:r>
        <w:rPr>
          <w:b/>
        </w:rPr>
        <w:t>Rumbolds Hill, Midhurst AQMA</w:t>
      </w:r>
    </w:p>
    <w:p w14:paraId="017CC471" w14:textId="77777777" w:rsidR="00FA17C4" w:rsidRPr="00FA17C4" w:rsidRDefault="00FA17C4">
      <w:r>
        <w:t xml:space="preserve">Rumbolds Hill (receptor locations 14 – 20) is predicted </w:t>
      </w:r>
      <w:r w:rsidR="00EB5554">
        <w:t>to move from marginal compliance to full compliance at 2025. Again should this modelled trend be borne out in mo</w:t>
      </w:r>
      <w:r w:rsidR="003276E6">
        <w:t>nitoring</w:t>
      </w:r>
      <w:r w:rsidR="00EB5554">
        <w:t xml:space="preserve"> data then the AQMA could be undeclared.</w:t>
      </w:r>
    </w:p>
    <w:p w14:paraId="2A88D8C7" w14:textId="77777777" w:rsidR="00FA17C4" w:rsidRDefault="00FA17C4">
      <w:pPr>
        <w:rPr>
          <w:b/>
        </w:rPr>
      </w:pPr>
      <w:r>
        <w:rPr>
          <w:b/>
        </w:rPr>
        <w:t>The Hornet</w:t>
      </w:r>
    </w:p>
    <w:p w14:paraId="5EF106D6" w14:textId="77777777" w:rsidR="00EB5554" w:rsidRDefault="00EB5554">
      <w:r w:rsidRPr="00EB5554">
        <w:t xml:space="preserve">The </w:t>
      </w:r>
      <w:r>
        <w:t>Hornet (receptor location 9 &amp; 15) is predicted to continue to have improved air quality and move further from being a candidate AQMA with little apparent risk of being declared as an AQMA.</w:t>
      </w:r>
    </w:p>
    <w:p w14:paraId="5FA01C17" w14:textId="77777777" w:rsidR="00EB5554" w:rsidRPr="00EB5554" w:rsidRDefault="00EB5554">
      <w:pPr>
        <w:rPr>
          <w:b/>
        </w:rPr>
      </w:pPr>
      <w:r>
        <w:rPr>
          <w:b/>
        </w:rPr>
        <w:t>Whyke A27 roundabout</w:t>
      </w:r>
    </w:p>
    <w:p w14:paraId="1C628682" w14:textId="77777777" w:rsidR="00FA17C4" w:rsidRDefault="00EB5554">
      <w:r>
        <w:t>Whyke nursing home (receptor location W1) ) is predicted to continue to have improved air quality and move from being a candidate AQMA</w:t>
      </w:r>
      <w:r w:rsidR="006378DD">
        <w:t xml:space="preserve"> to compliance with the air quality standard</w:t>
      </w:r>
      <w:r w:rsidR="00B048A1">
        <w:t xml:space="preserve"> for NO</w:t>
      </w:r>
      <w:r w:rsidR="00B048A1" w:rsidRPr="00B048A1">
        <w:rPr>
          <w:vertAlign w:val="subscript"/>
        </w:rPr>
        <w:t>2</w:t>
      </w:r>
      <w:r>
        <w:t>.</w:t>
      </w:r>
    </w:p>
    <w:p w14:paraId="0ACEEF23" w14:textId="77777777" w:rsidR="00EB5554" w:rsidRDefault="00EB5554">
      <w:pPr>
        <w:rPr>
          <w:b/>
        </w:rPr>
      </w:pPr>
      <w:r>
        <w:rPr>
          <w:b/>
        </w:rPr>
        <w:t>Oving Road A27 cross-roads</w:t>
      </w:r>
    </w:p>
    <w:p w14:paraId="3FB8D740" w14:textId="77777777" w:rsidR="00EB5554" w:rsidRPr="00EB5554" w:rsidRDefault="00EB5554">
      <w:r>
        <w:t>Oving Road (receptor location O2) is predicted to continue to have improved air quality and move further from being a candidate AQMA.</w:t>
      </w:r>
    </w:p>
    <w:p w14:paraId="31267B4E" w14:textId="77777777" w:rsidR="001D1052" w:rsidRDefault="00BC034A">
      <w:r>
        <w:rPr>
          <w:b/>
        </w:rPr>
        <w:t>Source apportionment results</w:t>
      </w:r>
    </w:p>
    <w:p w14:paraId="2C553CFF" w14:textId="77777777" w:rsidR="00BC034A" w:rsidRDefault="00A31C9F">
      <w:r>
        <w:t>Following analysis of the output data from the baseline model s</w:t>
      </w:r>
      <w:r w:rsidR="00BC034A">
        <w:t>ource</w:t>
      </w:r>
      <w:r>
        <w:t>-</w:t>
      </w:r>
      <w:r w:rsidR="00BC034A">
        <w:t xml:space="preserve">apportionment (as described in the </w:t>
      </w:r>
      <w:r>
        <w:t>‘scope and description’ section above) was carried out for the locations of most concern as modelling indicated their potential to continue to be non-compliant with the NO</w:t>
      </w:r>
      <w:r w:rsidRPr="00A31C9F">
        <w:rPr>
          <w:vertAlign w:val="subscript"/>
        </w:rPr>
        <w:t>2</w:t>
      </w:r>
      <w:r>
        <w:t xml:space="preserve"> annual mean standard.</w:t>
      </w:r>
    </w:p>
    <w:p w14:paraId="5D11DE6C" w14:textId="77777777" w:rsidR="00A31C9F" w:rsidRDefault="00A31C9F">
      <w:r>
        <w:t>Source apportionment was refined for buses as WSCC supplied detail of the operator Stagecoach’s fleet (vehicle type</w:t>
      </w:r>
      <w:r w:rsidR="00B048A1">
        <w:t>,</w:t>
      </w:r>
      <w:r>
        <w:t xml:space="preserve"> age</w:t>
      </w:r>
      <w:r w:rsidR="00B048A1">
        <w:t xml:space="preserve"> and route</w:t>
      </w:r>
      <w:r>
        <w:t xml:space="preserve">). No data was </w:t>
      </w:r>
      <w:r w:rsidR="00B15C1F">
        <w:t>available for hackney cabs or licensed private hire vehicles and so their impact on local air quality was not able to be modelled.</w:t>
      </w:r>
    </w:p>
    <w:p w14:paraId="118EC2A2" w14:textId="77777777" w:rsidR="001B0B75" w:rsidRDefault="00B15C1F">
      <w:r>
        <w:t>Output for source apportionment is for total ‘NOx’ for each location ie not for ‘NO</w:t>
      </w:r>
      <w:r w:rsidRPr="00B15C1F">
        <w:rPr>
          <w:vertAlign w:val="subscript"/>
        </w:rPr>
        <w:t>2</w:t>
      </w:r>
      <w:r>
        <w:t xml:space="preserve">’. This </w:t>
      </w:r>
      <w:r w:rsidR="006F5637">
        <w:t>best represents how vehicles emit this pollution. The sub-species of NOx are then oxidised in the environment to become NO</w:t>
      </w:r>
      <w:r w:rsidR="006F5637" w:rsidRPr="006F5637">
        <w:rPr>
          <w:vertAlign w:val="subscript"/>
        </w:rPr>
        <w:t>2</w:t>
      </w:r>
      <w:r w:rsidR="006F5637">
        <w:t>.</w:t>
      </w:r>
      <w:r w:rsidR="009F57E4">
        <w:t xml:space="preserve"> The baseline model outputs include source apportionment pie charts for the years 2018, 2020 and 2025. As such </w:t>
      </w:r>
      <w:r w:rsidR="003B051A">
        <w:t>readers wishing to see the pie-charts should follow the link</w:t>
      </w:r>
      <w:r w:rsidR="00B048A1">
        <w:t xml:space="preserve"> from this report</w:t>
      </w:r>
      <w:r w:rsidR="003B051A">
        <w:t xml:space="preserve"> to the baseline modelling report, though in any case the summary tables are included in the section that follows. </w:t>
      </w:r>
    </w:p>
    <w:p w14:paraId="2CCD7BD2" w14:textId="77777777" w:rsidR="00B15C1F" w:rsidRDefault="001B0B75">
      <w:r>
        <w:t>Note: None of the source apportionment includes background NOx but instead focus is on the local vehicular emission sources. Source apportionment is not carried out for Orchard Street AQMA as the location is now highly compliant with the AQS.</w:t>
      </w:r>
    </w:p>
    <w:p w14:paraId="6213FF41" w14:textId="77777777" w:rsidR="00636C17" w:rsidRPr="00BC034A" w:rsidRDefault="00636C17">
      <w:r w:rsidRPr="00636C17">
        <w:lastRenderedPageBreak/>
        <w:t>No exceedances of the particulate (PM</w:t>
      </w:r>
      <w:r w:rsidRPr="00636C17">
        <w:rPr>
          <w:vertAlign w:val="subscript"/>
        </w:rPr>
        <w:t>10</w:t>
      </w:r>
      <w:r w:rsidRPr="00636C17">
        <w:t xml:space="preserve"> and PM</w:t>
      </w:r>
      <w:r w:rsidRPr="00636C17">
        <w:rPr>
          <w:vertAlign w:val="subscript"/>
        </w:rPr>
        <w:t>2.5</w:t>
      </w:r>
      <w:r w:rsidRPr="00636C17">
        <w:t>) AQS were identified at any of</w:t>
      </w:r>
      <w:r w:rsidRPr="00636C17">
        <w:br/>
        <w:t>the modelled locations in 2018, 2020 and 2025</w:t>
      </w:r>
      <w:r>
        <w:t xml:space="preserve"> and so the data is not presented</w:t>
      </w:r>
      <w:r w:rsidR="00CF662E">
        <w:t xml:space="preserve"> or discussed in detail</w:t>
      </w:r>
      <w:r>
        <w:t xml:space="preserve"> in the AQAP but is available in the modelling reports</w:t>
      </w:r>
      <w:r w:rsidRPr="00636C17">
        <w:t>.</w:t>
      </w:r>
    </w:p>
    <w:p w14:paraId="343443E5" w14:textId="77777777" w:rsidR="00BB23A5" w:rsidRPr="00BB23A5" w:rsidRDefault="00BB23A5" w:rsidP="00BB23A5">
      <w:pPr>
        <w:pStyle w:val="Caption"/>
        <w:keepNext/>
        <w:spacing w:after="0"/>
        <w:rPr>
          <w:b w:val="0"/>
          <w:bCs w:val="0"/>
          <w:color w:val="auto"/>
          <w:sz w:val="22"/>
          <w:szCs w:val="22"/>
        </w:rPr>
      </w:pPr>
      <w:r w:rsidRPr="00BB23A5">
        <w:rPr>
          <w:bCs w:val="0"/>
          <w:color w:val="auto"/>
          <w:sz w:val="22"/>
          <w:szCs w:val="22"/>
        </w:rPr>
        <w:t xml:space="preserve">Table </w:t>
      </w:r>
      <w:r w:rsidRPr="00BB23A5">
        <w:rPr>
          <w:bCs w:val="0"/>
          <w:color w:val="auto"/>
          <w:sz w:val="22"/>
          <w:szCs w:val="22"/>
        </w:rPr>
        <w:fldChar w:fldCharType="begin"/>
      </w:r>
      <w:r w:rsidRPr="00BB23A5">
        <w:rPr>
          <w:bCs w:val="0"/>
          <w:color w:val="auto"/>
          <w:sz w:val="22"/>
          <w:szCs w:val="22"/>
        </w:rPr>
        <w:instrText xml:space="preserve"> SEQ Table \* ARABIC </w:instrText>
      </w:r>
      <w:r w:rsidRPr="00BB23A5">
        <w:rPr>
          <w:bCs w:val="0"/>
          <w:color w:val="auto"/>
          <w:sz w:val="22"/>
          <w:szCs w:val="22"/>
        </w:rPr>
        <w:fldChar w:fldCharType="separate"/>
      </w:r>
      <w:r w:rsidR="00947DF1">
        <w:rPr>
          <w:bCs w:val="0"/>
          <w:noProof/>
          <w:color w:val="auto"/>
          <w:sz w:val="22"/>
          <w:szCs w:val="22"/>
        </w:rPr>
        <w:t>10</w:t>
      </w:r>
      <w:r w:rsidRPr="00BB23A5">
        <w:rPr>
          <w:bCs w:val="0"/>
          <w:color w:val="auto"/>
          <w:sz w:val="22"/>
          <w:szCs w:val="22"/>
        </w:rPr>
        <w:fldChar w:fldCharType="end"/>
      </w:r>
      <w:r w:rsidRPr="00BB23A5">
        <w:rPr>
          <w:bCs w:val="0"/>
          <w:color w:val="auto"/>
          <w:sz w:val="22"/>
          <w:szCs w:val="22"/>
        </w:rPr>
        <w:t>:</w:t>
      </w:r>
      <w:r w:rsidRPr="00BB23A5">
        <w:rPr>
          <w:b w:val="0"/>
          <w:bCs w:val="0"/>
          <w:color w:val="auto"/>
          <w:sz w:val="22"/>
          <w:szCs w:val="22"/>
        </w:rPr>
        <w:t xml:space="preserve"> St Pancras AQMA source apportionment</w:t>
      </w:r>
      <w:r>
        <w:rPr>
          <w:b w:val="0"/>
          <w:bCs w:val="0"/>
          <w:color w:val="auto"/>
          <w:sz w:val="22"/>
          <w:szCs w:val="22"/>
        </w:rPr>
        <w:t>:</w:t>
      </w:r>
    </w:p>
    <w:tbl>
      <w:tblPr>
        <w:tblW w:w="6480" w:type="dxa"/>
        <w:tblInd w:w="93" w:type="dxa"/>
        <w:tblLook w:val="04A0" w:firstRow="1" w:lastRow="0" w:firstColumn="1" w:lastColumn="0" w:noHBand="0" w:noVBand="1"/>
      </w:tblPr>
      <w:tblGrid>
        <w:gridCol w:w="2940"/>
        <w:gridCol w:w="1180"/>
        <w:gridCol w:w="1180"/>
        <w:gridCol w:w="1180"/>
      </w:tblGrid>
      <w:tr w:rsidR="001B0B75" w:rsidRPr="001B0B75" w14:paraId="6608796A" w14:textId="77777777" w:rsidTr="001B0B75">
        <w:trPr>
          <w:trHeight w:val="300"/>
        </w:trPr>
        <w:tc>
          <w:tcPr>
            <w:tcW w:w="2940" w:type="dxa"/>
            <w:tcBorders>
              <w:top w:val="nil"/>
              <w:left w:val="nil"/>
              <w:bottom w:val="nil"/>
              <w:right w:val="nil"/>
            </w:tcBorders>
            <w:shd w:val="clear" w:color="auto" w:fill="auto"/>
            <w:noWrap/>
            <w:vAlign w:val="bottom"/>
            <w:hideMark/>
          </w:tcPr>
          <w:p w14:paraId="541D7584" w14:textId="77777777" w:rsidR="001B0B75" w:rsidRPr="001B0B75" w:rsidRDefault="001B0B75" w:rsidP="001B0B75">
            <w:pPr>
              <w:spacing w:after="0" w:line="240" w:lineRule="auto"/>
              <w:rPr>
                <w:rFonts w:ascii="Calibri" w:eastAsia="Times New Roman" w:hAnsi="Calibri" w:cs="Times New Roman"/>
                <w:color w:val="000000"/>
                <w:lang w:eastAsia="en-GB"/>
              </w:rPr>
            </w:pPr>
          </w:p>
        </w:tc>
        <w:tc>
          <w:tcPr>
            <w:tcW w:w="35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32342E" w14:textId="77777777" w:rsidR="001B0B75" w:rsidRPr="001B0B75" w:rsidRDefault="001B0B75" w:rsidP="001B0B75">
            <w:pPr>
              <w:spacing w:after="0" w:line="240" w:lineRule="auto"/>
              <w:jc w:val="center"/>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N</w:t>
            </w:r>
            <w:r>
              <w:rPr>
                <w:rFonts w:ascii="Calibri" w:eastAsia="Times New Roman" w:hAnsi="Calibri" w:cs="Times New Roman"/>
                <w:b/>
                <w:bCs/>
                <w:color w:val="000000"/>
                <w:lang w:eastAsia="en-GB"/>
              </w:rPr>
              <w:t>O</w:t>
            </w:r>
            <w:r w:rsidRPr="001B0B75">
              <w:rPr>
                <w:rFonts w:ascii="Calibri" w:eastAsia="Times New Roman" w:hAnsi="Calibri" w:cs="Times New Roman"/>
                <w:b/>
                <w:bCs/>
                <w:color w:val="000000"/>
                <w:lang w:eastAsia="en-GB"/>
              </w:rPr>
              <w:t>x source apportionment</w:t>
            </w:r>
          </w:p>
        </w:tc>
      </w:tr>
      <w:tr w:rsidR="001B0B75" w:rsidRPr="001B0B75" w14:paraId="304281E8" w14:textId="77777777" w:rsidTr="001B0B75">
        <w:trPr>
          <w:trHeight w:val="300"/>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6B3E4"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Vehicle type:</w:t>
            </w:r>
          </w:p>
        </w:tc>
        <w:tc>
          <w:tcPr>
            <w:tcW w:w="1180" w:type="dxa"/>
            <w:tcBorders>
              <w:top w:val="nil"/>
              <w:left w:val="nil"/>
              <w:bottom w:val="single" w:sz="4" w:space="0" w:color="auto"/>
              <w:right w:val="single" w:sz="4" w:space="0" w:color="auto"/>
            </w:tcBorders>
            <w:shd w:val="clear" w:color="auto" w:fill="auto"/>
            <w:noWrap/>
            <w:vAlign w:val="bottom"/>
            <w:hideMark/>
          </w:tcPr>
          <w:p w14:paraId="5DD0309B" w14:textId="77777777" w:rsidR="001B0B75" w:rsidRPr="001B0B75" w:rsidRDefault="001B0B75" w:rsidP="001B0B75">
            <w:pPr>
              <w:spacing w:after="0" w:line="240" w:lineRule="auto"/>
              <w:jc w:val="center"/>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2018</w:t>
            </w:r>
          </w:p>
        </w:tc>
        <w:tc>
          <w:tcPr>
            <w:tcW w:w="1180" w:type="dxa"/>
            <w:tcBorders>
              <w:top w:val="nil"/>
              <w:left w:val="nil"/>
              <w:bottom w:val="single" w:sz="4" w:space="0" w:color="auto"/>
              <w:right w:val="single" w:sz="4" w:space="0" w:color="auto"/>
            </w:tcBorders>
            <w:shd w:val="clear" w:color="auto" w:fill="auto"/>
            <w:noWrap/>
            <w:vAlign w:val="bottom"/>
            <w:hideMark/>
          </w:tcPr>
          <w:p w14:paraId="16E5910A" w14:textId="77777777" w:rsidR="001B0B75" w:rsidRPr="001B0B75" w:rsidRDefault="001B0B75" w:rsidP="001B0B75">
            <w:pPr>
              <w:spacing w:after="0" w:line="240" w:lineRule="auto"/>
              <w:jc w:val="center"/>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2020</w:t>
            </w:r>
          </w:p>
        </w:tc>
        <w:tc>
          <w:tcPr>
            <w:tcW w:w="1180" w:type="dxa"/>
            <w:tcBorders>
              <w:top w:val="nil"/>
              <w:left w:val="nil"/>
              <w:bottom w:val="single" w:sz="4" w:space="0" w:color="auto"/>
              <w:right w:val="single" w:sz="4" w:space="0" w:color="auto"/>
            </w:tcBorders>
            <w:shd w:val="clear" w:color="auto" w:fill="auto"/>
            <w:noWrap/>
            <w:vAlign w:val="bottom"/>
            <w:hideMark/>
          </w:tcPr>
          <w:p w14:paraId="7FF9E13B" w14:textId="77777777" w:rsidR="001B0B75" w:rsidRPr="001B0B75" w:rsidRDefault="001B0B75" w:rsidP="001B0B75">
            <w:pPr>
              <w:spacing w:after="0" w:line="240" w:lineRule="auto"/>
              <w:jc w:val="center"/>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2025</w:t>
            </w:r>
          </w:p>
        </w:tc>
      </w:tr>
      <w:tr w:rsidR="001B0B75" w:rsidRPr="001B0B75" w14:paraId="30273CF7"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027E634C"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Petrol Cars (%) </w:t>
            </w:r>
          </w:p>
        </w:tc>
        <w:tc>
          <w:tcPr>
            <w:tcW w:w="1180" w:type="dxa"/>
            <w:tcBorders>
              <w:top w:val="nil"/>
              <w:left w:val="nil"/>
              <w:bottom w:val="single" w:sz="4" w:space="0" w:color="auto"/>
              <w:right w:val="single" w:sz="4" w:space="0" w:color="auto"/>
            </w:tcBorders>
            <w:shd w:val="clear" w:color="auto" w:fill="auto"/>
            <w:noWrap/>
            <w:vAlign w:val="bottom"/>
            <w:hideMark/>
          </w:tcPr>
          <w:p w14:paraId="45B40F0F"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7.4%</w:t>
            </w:r>
          </w:p>
        </w:tc>
        <w:tc>
          <w:tcPr>
            <w:tcW w:w="1180" w:type="dxa"/>
            <w:tcBorders>
              <w:top w:val="nil"/>
              <w:left w:val="nil"/>
              <w:bottom w:val="single" w:sz="4" w:space="0" w:color="auto"/>
              <w:right w:val="single" w:sz="4" w:space="0" w:color="auto"/>
            </w:tcBorders>
            <w:shd w:val="clear" w:color="auto" w:fill="auto"/>
            <w:noWrap/>
            <w:vAlign w:val="bottom"/>
            <w:hideMark/>
          </w:tcPr>
          <w:p w14:paraId="27B291FD"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7.3%</w:t>
            </w:r>
          </w:p>
        </w:tc>
        <w:tc>
          <w:tcPr>
            <w:tcW w:w="1180" w:type="dxa"/>
            <w:tcBorders>
              <w:top w:val="nil"/>
              <w:left w:val="nil"/>
              <w:bottom w:val="single" w:sz="4" w:space="0" w:color="auto"/>
              <w:right w:val="single" w:sz="4" w:space="0" w:color="auto"/>
            </w:tcBorders>
            <w:shd w:val="clear" w:color="auto" w:fill="auto"/>
            <w:noWrap/>
            <w:vAlign w:val="bottom"/>
            <w:hideMark/>
          </w:tcPr>
          <w:p w14:paraId="089751BC"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9.5%</w:t>
            </w:r>
          </w:p>
        </w:tc>
      </w:tr>
      <w:tr w:rsidR="001B0B75" w:rsidRPr="001B0B75" w14:paraId="72F71ED4"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6C5A94E3"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Diesel Cars (%) </w:t>
            </w:r>
          </w:p>
        </w:tc>
        <w:tc>
          <w:tcPr>
            <w:tcW w:w="1180" w:type="dxa"/>
            <w:tcBorders>
              <w:top w:val="nil"/>
              <w:left w:val="nil"/>
              <w:bottom w:val="single" w:sz="4" w:space="0" w:color="auto"/>
              <w:right w:val="single" w:sz="4" w:space="0" w:color="auto"/>
            </w:tcBorders>
            <w:shd w:val="clear" w:color="auto" w:fill="auto"/>
            <w:noWrap/>
            <w:vAlign w:val="bottom"/>
            <w:hideMark/>
          </w:tcPr>
          <w:p w14:paraId="6A0EBB67"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50.5%</w:t>
            </w:r>
          </w:p>
        </w:tc>
        <w:tc>
          <w:tcPr>
            <w:tcW w:w="1180" w:type="dxa"/>
            <w:tcBorders>
              <w:top w:val="nil"/>
              <w:left w:val="nil"/>
              <w:bottom w:val="single" w:sz="4" w:space="0" w:color="auto"/>
              <w:right w:val="single" w:sz="4" w:space="0" w:color="auto"/>
            </w:tcBorders>
            <w:shd w:val="clear" w:color="auto" w:fill="auto"/>
            <w:noWrap/>
            <w:vAlign w:val="bottom"/>
            <w:hideMark/>
          </w:tcPr>
          <w:p w14:paraId="523850D5"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51.4%</w:t>
            </w:r>
          </w:p>
        </w:tc>
        <w:tc>
          <w:tcPr>
            <w:tcW w:w="1180" w:type="dxa"/>
            <w:tcBorders>
              <w:top w:val="nil"/>
              <w:left w:val="nil"/>
              <w:bottom w:val="single" w:sz="4" w:space="0" w:color="auto"/>
              <w:right w:val="single" w:sz="4" w:space="0" w:color="auto"/>
            </w:tcBorders>
            <w:shd w:val="clear" w:color="auto" w:fill="auto"/>
            <w:noWrap/>
            <w:vAlign w:val="bottom"/>
            <w:hideMark/>
          </w:tcPr>
          <w:p w14:paraId="5581E33B"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50.3%</w:t>
            </w:r>
          </w:p>
        </w:tc>
      </w:tr>
      <w:tr w:rsidR="001B0B75" w:rsidRPr="001B0B75" w14:paraId="50FEB799"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0D66A766"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Taxis (%) </w:t>
            </w:r>
          </w:p>
        </w:tc>
        <w:tc>
          <w:tcPr>
            <w:tcW w:w="1180" w:type="dxa"/>
            <w:tcBorders>
              <w:top w:val="nil"/>
              <w:left w:val="nil"/>
              <w:bottom w:val="single" w:sz="4" w:space="0" w:color="auto"/>
              <w:right w:val="single" w:sz="4" w:space="0" w:color="auto"/>
            </w:tcBorders>
            <w:shd w:val="clear" w:color="auto" w:fill="auto"/>
            <w:noWrap/>
            <w:vAlign w:val="bottom"/>
            <w:hideMark/>
          </w:tcPr>
          <w:p w14:paraId="3630BB9D"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 xml:space="preserve">- </w:t>
            </w:r>
          </w:p>
        </w:tc>
        <w:tc>
          <w:tcPr>
            <w:tcW w:w="1180" w:type="dxa"/>
            <w:tcBorders>
              <w:top w:val="nil"/>
              <w:left w:val="nil"/>
              <w:bottom w:val="single" w:sz="4" w:space="0" w:color="auto"/>
              <w:right w:val="single" w:sz="4" w:space="0" w:color="auto"/>
            </w:tcBorders>
            <w:shd w:val="clear" w:color="auto" w:fill="auto"/>
            <w:noWrap/>
            <w:vAlign w:val="bottom"/>
            <w:hideMark/>
          </w:tcPr>
          <w:p w14:paraId="069A3B6C"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 xml:space="preserve">- </w:t>
            </w:r>
          </w:p>
        </w:tc>
        <w:tc>
          <w:tcPr>
            <w:tcW w:w="1180" w:type="dxa"/>
            <w:tcBorders>
              <w:top w:val="nil"/>
              <w:left w:val="nil"/>
              <w:bottom w:val="single" w:sz="4" w:space="0" w:color="auto"/>
              <w:right w:val="single" w:sz="4" w:space="0" w:color="auto"/>
            </w:tcBorders>
            <w:shd w:val="clear" w:color="auto" w:fill="auto"/>
            <w:noWrap/>
            <w:vAlign w:val="bottom"/>
            <w:hideMark/>
          </w:tcPr>
          <w:p w14:paraId="65E6595A"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w:t>
            </w:r>
          </w:p>
        </w:tc>
      </w:tr>
      <w:tr w:rsidR="001B0B75" w:rsidRPr="001B0B75" w14:paraId="478A52A5"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56D6439E"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Petrol LGVs (%) </w:t>
            </w:r>
          </w:p>
        </w:tc>
        <w:tc>
          <w:tcPr>
            <w:tcW w:w="1180" w:type="dxa"/>
            <w:tcBorders>
              <w:top w:val="nil"/>
              <w:left w:val="nil"/>
              <w:bottom w:val="single" w:sz="4" w:space="0" w:color="auto"/>
              <w:right w:val="single" w:sz="4" w:space="0" w:color="auto"/>
            </w:tcBorders>
            <w:shd w:val="clear" w:color="auto" w:fill="auto"/>
            <w:noWrap/>
            <w:vAlign w:val="bottom"/>
            <w:hideMark/>
          </w:tcPr>
          <w:p w14:paraId="74ECF8D6"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0.1%</w:t>
            </w:r>
          </w:p>
        </w:tc>
        <w:tc>
          <w:tcPr>
            <w:tcW w:w="1180" w:type="dxa"/>
            <w:tcBorders>
              <w:top w:val="nil"/>
              <w:left w:val="nil"/>
              <w:bottom w:val="single" w:sz="4" w:space="0" w:color="auto"/>
              <w:right w:val="single" w:sz="4" w:space="0" w:color="auto"/>
            </w:tcBorders>
            <w:shd w:val="clear" w:color="auto" w:fill="auto"/>
            <w:noWrap/>
            <w:vAlign w:val="bottom"/>
            <w:hideMark/>
          </w:tcPr>
          <w:p w14:paraId="42130DEC"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0.0%</w:t>
            </w:r>
          </w:p>
        </w:tc>
        <w:tc>
          <w:tcPr>
            <w:tcW w:w="1180" w:type="dxa"/>
            <w:tcBorders>
              <w:top w:val="nil"/>
              <w:left w:val="nil"/>
              <w:bottom w:val="single" w:sz="4" w:space="0" w:color="auto"/>
              <w:right w:val="single" w:sz="4" w:space="0" w:color="auto"/>
            </w:tcBorders>
            <w:shd w:val="clear" w:color="auto" w:fill="auto"/>
            <w:noWrap/>
            <w:vAlign w:val="bottom"/>
            <w:hideMark/>
          </w:tcPr>
          <w:p w14:paraId="7009EB07"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0.0%</w:t>
            </w:r>
          </w:p>
        </w:tc>
      </w:tr>
      <w:tr w:rsidR="001B0B75" w:rsidRPr="001B0B75" w14:paraId="3CA26B2C"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20915B63"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Diesel LGVs (%) </w:t>
            </w:r>
          </w:p>
        </w:tc>
        <w:tc>
          <w:tcPr>
            <w:tcW w:w="1180" w:type="dxa"/>
            <w:tcBorders>
              <w:top w:val="nil"/>
              <w:left w:val="nil"/>
              <w:bottom w:val="single" w:sz="4" w:space="0" w:color="auto"/>
              <w:right w:val="single" w:sz="4" w:space="0" w:color="auto"/>
            </w:tcBorders>
            <w:shd w:val="clear" w:color="auto" w:fill="auto"/>
            <w:noWrap/>
            <w:vAlign w:val="bottom"/>
            <w:hideMark/>
          </w:tcPr>
          <w:p w14:paraId="036B9778"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26.6%</w:t>
            </w:r>
          </w:p>
        </w:tc>
        <w:tc>
          <w:tcPr>
            <w:tcW w:w="1180" w:type="dxa"/>
            <w:tcBorders>
              <w:top w:val="nil"/>
              <w:left w:val="nil"/>
              <w:bottom w:val="single" w:sz="4" w:space="0" w:color="auto"/>
              <w:right w:val="single" w:sz="4" w:space="0" w:color="auto"/>
            </w:tcBorders>
            <w:shd w:val="clear" w:color="auto" w:fill="auto"/>
            <w:noWrap/>
            <w:vAlign w:val="bottom"/>
            <w:hideMark/>
          </w:tcPr>
          <w:p w14:paraId="519E9A67"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25.9%</w:t>
            </w:r>
          </w:p>
        </w:tc>
        <w:tc>
          <w:tcPr>
            <w:tcW w:w="1180" w:type="dxa"/>
            <w:tcBorders>
              <w:top w:val="nil"/>
              <w:left w:val="nil"/>
              <w:bottom w:val="single" w:sz="4" w:space="0" w:color="auto"/>
              <w:right w:val="single" w:sz="4" w:space="0" w:color="auto"/>
            </w:tcBorders>
            <w:shd w:val="clear" w:color="auto" w:fill="auto"/>
            <w:noWrap/>
            <w:vAlign w:val="bottom"/>
            <w:hideMark/>
          </w:tcPr>
          <w:p w14:paraId="4C964A04"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22.6%</w:t>
            </w:r>
          </w:p>
        </w:tc>
      </w:tr>
      <w:tr w:rsidR="001B0B75" w:rsidRPr="001B0B75" w14:paraId="4EE65031"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3DF64A28"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Rigid HGVs (%) </w:t>
            </w:r>
          </w:p>
        </w:tc>
        <w:tc>
          <w:tcPr>
            <w:tcW w:w="1180" w:type="dxa"/>
            <w:tcBorders>
              <w:top w:val="nil"/>
              <w:left w:val="nil"/>
              <w:bottom w:val="single" w:sz="4" w:space="0" w:color="auto"/>
              <w:right w:val="single" w:sz="4" w:space="0" w:color="auto"/>
            </w:tcBorders>
            <w:shd w:val="clear" w:color="auto" w:fill="auto"/>
            <w:noWrap/>
            <w:vAlign w:val="bottom"/>
            <w:hideMark/>
          </w:tcPr>
          <w:p w14:paraId="2C87ABD6"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2.7%</w:t>
            </w:r>
          </w:p>
        </w:tc>
        <w:tc>
          <w:tcPr>
            <w:tcW w:w="1180" w:type="dxa"/>
            <w:tcBorders>
              <w:top w:val="nil"/>
              <w:left w:val="nil"/>
              <w:bottom w:val="single" w:sz="4" w:space="0" w:color="auto"/>
              <w:right w:val="single" w:sz="4" w:space="0" w:color="auto"/>
            </w:tcBorders>
            <w:shd w:val="clear" w:color="auto" w:fill="auto"/>
            <w:noWrap/>
            <w:vAlign w:val="bottom"/>
            <w:hideMark/>
          </w:tcPr>
          <w:p w14:paraId="6BD7F945"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2.0%</w:t>
            </w:r>
          </w:p>
        </w:tc>
        <w:tc>
          <w:tcPr>
            <w:tcW w:w="1180" w:type="dxa"/>
            <w:tcBorders>
              <w:top w:val="nil"/>
              <w:left w:val="nil"/>
              <w:bottom w:val="single" w:sz="4" w:space="0" w:color="auto"/>
              <w:right w:val="single" w:sz="4" w:space="0" w:color="auto"/>
            </w:tcBorders>
            <w:shd w:val="clear" w:color="auto" w:fill="auto"/>
            <w:noWrap/>
            <w:vAlign w:val="bottom"/>
            <w:hideMark/>
          </w:tcPr>
          <w:p w14:paraId="5782C5AD"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1.2%</w:t>
            </w:r>
          </w:p>
        </w:tc>
      </w:tr>
      <w:tr w:rsidR="001B0B75" w:rsidRPr="001B0B75" w14:paraId="00F4AA31"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749F598A"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Artic HGVs (%) </w:t>
            </w:r>
          </w:p>
        </w:tc>
        <w:tc>
          <w:tcPr>
            <w:tcW w:w="1180" w:type="dxa"/>
            <w:tcBorders>
              <w:top w:val="nil"/>
              <w:left w:val="nil"/>
              <w:bottom w:val="single" w:sz="4" w:space="0" w:color="auto"/>
              <w:right w:val="single" w:sz="4" w:space="0" w:color="auto"/>
            </w:tcBorders>
            <w:shd w:val="clear" w:color="auto" w:fill="auto"/>
            <w:noWrap/>
            <w:vAlign w:val="bottom"/>
            <w:hideMark/>
          </w:tcPr>
          <w:p w14:paraId="203AF8FF"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0.8%</w:t>
            </w:r>
          </w:p>
        </w:tc>
        <w:tc>
          <w:tcPr>
            <w:tcW w:w="1180" w:type="dxa"/>
            <w:tcBorders>
              <w:top w:val="nil"/>
              <w:left w:val="nil"/>
              <w:bottom w:val="single" w:sz="4" w:space="0" w:color="auto"/>
              <w:right w:val="single" w:sz="4" w:space="0" w:color="auto"/>
            </w:tcBorders>
            <w:shd w:val="clear" w:color="auto" w:fill="auto"/>
            <w:noWrap/>
            <w:vAlign w:val="bottom"/>
            <w:hideMark/>
          </w:tcPr>
          <w:p w14:paraId="116F1DD7"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0.5%</w:t>
            </w:r>
          </w:p>
        </w:tc>
        <w:tc>
          <w:tcPr>
            <w:tcW w:w="1180" w:type="dxa"/>
            <w:tcBorders>
              <w:top w:val="nil"/>
              <w:left w:val="nil"/>
              <w:bottom w:val="single" w:sz="4" w:space="0" w:color="auto"/>
              <w:right w:val="single" w:sz="4" w:space="0" w:color="auto"/>
            </w:tcBorders>
            <w:shd w:val="clear" w:color="auto" w:fill="auto"/>
            <w:noWrap/>
            <w:vAlign w:val="bottom"/>
            <w:hideMark/>
          </w:tcPr>
          <w:p w14:paraId="6ED8745B"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0.3%</w:t>
            </w:r>
          </w:p>
        </w:tc>
      </w:tr>
      <w:tr w:rsidR="001B0B75" w:rsidRPr="001B0B75" w14:paraId="28905AFA"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4531D944"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Buses/Coaches (%) </w:t>
            </w:r>
          </w:p>
        </w:tc>
        <w:tc>
          <w:tcPr>
            <w:tcW w:w="1180" w:type="dxa"/>
            <w:tcBorders>
              <w:top w:val="nil"/>
              <w:left w:val="nil"/>
              <w:bottom w:val="single" w:sz="4" w:space="0" w:color="auto"/>
              <w:right w:val="single" w:sz="4" w:space="0" w:color="auto"/>
            </w:tcBorders>
            <w:shd w:val="clear" w:color="auto" w:fill="auto"/>
            <w:noWrap/>
            <w:vAlign w:val="bottom"/>
            <w:hideMark/>
          </w:tcPr>
          <w:p w14:paraId="2468D9C7"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11.6%</w:t>
            </w:r>
          </w:p>
        </w:tc>
        <w:tc>
          <w:tcPr>
            <w:tcW w:w="1180" w:type="dxa"/>
            <w:tcBorders>
              <w:top w:val="nil"/>
              <w:left w:val="nil"/>
              <w:bottom w:val="single" w:sz="4" w:space="0" w:color="auto"/>
              <w:right w:val="single" w:sz="4" w:space="0" w:color="auto"/>
            </w:tcBorders>
            <w:shd w:val="clear" w:color="auto" w:fill="auto"/>
            <w:noWrap/>
            <w:vAlign w:val="bottom"/>
            <w:hideMark/>
          </w:tcPr>
          <w:p w14:paraId="65775E97"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12.0%</w:t>
            </w:r>
          </w:p>
        </w:tc>
        <w:tc>
          <w:tcPr>
            <w:tcW w:w="1180" w:type="dxa"/>
            <w:tcBorders>
              <w:top w:val="nil"/>
              <w:left w:val="nil"/>
              <w:bottom w:val="single" w:sz="4" w:space="0" w:color="auto"/>
              <w:right w:val="single" w:sz="4" w:space="0" w:color="auto"/>
            </w:tcBorders>
            <w:shd w:val="clear" w:color="auto" w:fill="auto"/>
            <w:noWrap/>
            <w:vAlign w:val="bottom"/>
            <w:hideMark/>
          </w:tcPr>
          <w:p w14:paraId="2F74A2A5"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13.9%</w:t>
            </w:r>
          </w:p>
        </w:tc>
      </w:tr>
      <w:tr w:rsidR="001B0B75" w:rsidRPr="001B0B75" w14:paraId="655CE925"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44FEE3CA"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Motorcycles (%) </w:t>
            </w:r>
          </w:p>
        </w:tc>
        <w:tc>
          <w:tcPr>
            <w:tcW w:w="1180" w:type="dxa"/>
            <w:tcBorders>
              <w:top w:val="nil"/>
              <w:left w:val="nil"/>
              <w:bottom w:val="single" w:sz="4" w:space="0" w:color="auto"/>
              <w:right w:val="single" w:sz="4" w:space="0" w:color="auto"/>
            </w:tcBorders>
            <w:shd w:val="clear" w:color="auto" w:fill="auto"/>
            <w:noWrap/>
            <w:vAlign w:val="bottom"/>
            <w:hideMark/>
          </w:tcPr>
          <w:p w14:paraId="0175945A"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 xml:space="preserve">- </w:t>
            </w:r>
          </w:p>
        </w:tc>
        <w:tc>
          <w:tcPr>
            <w:tcW w:w="1180" w:type="dxa"/>
            <w:tcBorders>
              <w:top w:val="nil"/>
              <w:left w:val="nil"/>
              <w:bottom w:val="single" w:sz="4" w:space="0" w:color="auto"/>
              <w:right w:val="single" w:sz="4" w:space="0" w:color="auto"/>
            </w:tcBorders>
            <w:shd w:val="clear" w:color="auto" w:fill="auto"/>
            <w:noWrap/>
            <w:vAlign w:val="bottom"/>
            <w:hideMark/>
          </w:tcPr>
          <w:p w14:paraId="16C8FD9D"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 xml:space="preserve">- </w:t>
            </w:r>
          </w:p>
        </w:tc>
        <w:tc>
          <w:tcPr>
            <w:tcW w:w="1180" w:type="dxa"/>
            <w:tcBorders>
              <w:top w:val="nil"/>
              <w:left w:val="nil"/>
              <w:bottom w:val="single" w:sz="4" w:space="0" w:color="auto"/>
              <w:right w:val="single" w:sz="4" w:space="0" w:color="auto"/>
            </w:tcBorders>
            <w:shd w:val="clear" w:color="auto" w:fill="auto"/>
            <w:noWrap/>
            <w:vAlign w:val="bottom"/>
            <w:hideMark/>
          </w:tcPr>
          <w:p w14:paraId="37B63D5D"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w:t>
            </w:r>
          </w:p>
        </w:tc>
      </w:tr>
      <w:tr w:rsidR="001B0B75" w:rsidRPr="001B0B75" w14:paraId="3C1E6F26"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38691632"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Full Hybrid Petrol Cars (%) </w:t>
            </w:r>
          </w:p>
        </w:tc>
        <w:tc>
          <w:tcPr>
            <w:tcW w:w="1180" w:type="dxa"/>
            <w:tcBorders>
              <w:top w:val="nil"/>
              <w:left w:val="nil"/>
              <w:bottom w:val="single" w:sz="4" w:space="0" w:color="auto"/>
              <w:right w:val="single" w:sz="4" w:space="0" w:color="auto"/>
            </w:tcBorders>
            <w:shd w:val="clear" w:color="auto" w:fill="auto"/>
            <w:noWrap/>
            <w:vAlign w:val="bottom"/>
            <w:hideMark/>
          </w:tcPr>
          <w:p w14:paraId="32854944"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0.1%</w:t>
            </w:r>
          </w:p>
        </w:tc>
        <w:tc>
          <w:tcPr>
            <w:tcW w:w="1180" w:type="dxa"/>
            <w:tcBorders>
              <w:top w:val="nil"/>
              <w:left w:val="nil"/>
              <w:bottom w:val="single" w:sz="4" w:space="0" w:color="auto"/>
              <w:right w:val="single" w:sz="4" w:space="0" w:color="auto"/>
            </w:tcBorders>
            <w:shd w:val="clear" w:color="auto" w:fill="auto"/>
            <w:noWrap/>
            <w:vAlign w:val="bottom"/>
            <w:hideMark/>
          </w:tcPr>
          <w:p w14:paraId="3E588C05"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0.2%</w:t>
            </w:r>
          </w:p>
        </w:tc>
        <w:tc>
          <w:tcPr>
            <w:tcW w:w="1180" w:type="dxa"/>
            <w:tcBorders>
              <w:top w:val="nil"/>
              <w:left w:val="nil"/>
              <w:bottom w:val="single" w:sz="4" w:space="0" w:color="auto"/>
              <w:right w:val="single" w:sz="4" w:space="0" w:color="auto"/>
            </w:tcBorders>
            <w:shd w:val="clear" w:color="auto" w:fill="auto"/>
            <w:noWrap/>
            <w:vAlign w:val="bottom"/>
            <w:hideMark/>
          </w:tcPr>
          <w:p w14:paraId="66007F3F"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0.5%</w:t>
            </w:r>
          </w:p>
        </w:tc>
      </w:tr>
      <w:tr w:rsidR="001B0B75" w:rsidRPr="001B0B75" w14:paraId="0C1F196D"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769AE7C8"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Plug-In Hybrid Petrol Cars (%) </w:t>
            </w:r>
          </w:p>
        </w:tc>
        <w:tc>
          <w:tcPr>
            <w:tcW w:w="1180" w:type="dxa"/>
            <w:tcBorders>
              <w:top w:val="nil"/>
              <w:left w:val="nil"/>
              <w:bottom w:val="single" w:sz="4" w:space="0" w:color="auto"/>
              <w:right w:val="single" w:sz="4" w:space="0" w:color="auto"/>
            </w:tcBorders>
            <w:shd w:val="clear" w:color="auto" w:fill="auto"/>
            <w:noWrap/>
            <w:vAlign w:val="bottom"/>
            <w:hideMark/>
          </w:tcPr>
          <w:p w14:paraId="2FBAE1D6"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0.0%</w:t>
            </w:r>
          </w:p>
        </w:tc>
        <w:tc>
          <w:tcPr>
            <w:tcW w:w="1180" w:type="dxa"/>
            <w:tcBorders>
              <w:top w:val="nil"/>
              <w:left w:val="nil"/>
              <w:bottom w:val="single" w:sz="4" w:space="0" w:color="auto"/>
              <w:right w:val="single" w:sz="4" w:space="0" w:color="auto"/>
            </w:tcBorders>
            <w:shd w:val="clear" w:color="auto" w:fill="auto"/>
            <w:noWrap/>
            <w:vAlign w:val="bottom"/>
            <w:hideMark/>
          </w:tcPr>
          <w:p w14:paraId="2F76A416"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0.0%</w:t>
            </w:r>
          </w:p>
        </w:tc>
        <w:tc>
          <w:tcPr>
            <w:tcW w:w="1180" w:type="dxa"/>
            <w:tcBorders>
              <w:top w:val="nil"/>
              <w:left w:val="nil"/>
              <w:bottom w:val="single" w:sz="4" w:space="0" w:color="auto"/>
              <w:right w:val="single" w:sz="4" w:space="0" w:color="auto"/>
            </w:tcBorders>
            <w:shd w:val="clear" w:color="auto" w:fill="auto"/>
            <w:noWrap/>
            <w:vAlign w:val="bottom"/>
            <w:hideMark/>
          </w:tcPr>
          <w:p w14:paraId="7581B58F"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0.1%</w:t>
            </w:r>
          </w:p>
        </w:tc>
      </w:tr>
      <w:tr w:rsidR="001B0B75" w:rsidRPr="001B0B75" w14:paraId="73264C9C"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201F226C"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Full Hybrid Diesel Cars (%) </w:t>
            </w:r>
          </w:p>
        </w:tc>
        <w:tc>
          <w:tcPr>
            <w:tcW w:w="1180" w:type="dxa"/>
            <w:tcBorders>
              <w:top w:val="nil"/>
              <w:left w:val="nil"/>
              <w:bottom w:val="single" w:sz="4" w:space="0" w:color="auto"/>
              <w:right w:val="single" w:sz="4" w:space="0" w:color="auto"/>
            </w:tcBorders>
            <w:shd w:val="clear" w:color="auto" w:fill="auto"/>
            <w:noWrap/>
            <w:vAlign w:val="bottom"/>
            <w:hideMark/>
          </w:tcPr>
          <w:p w14:paraId="65784912"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0.2%</w:t>
            </w:r>
          </w:p>
        </w:tc>
        <w:tc>
          <w:tcPr>
            <w:tcW w:w="1180" w:type="dxa"/>
            <w:tcBorders>
              <w:top w:val="nil"/>
              <w:left w:val="nil"/>
              <w:bottom w:val="single" w:sz="4" w:space="0" w:color="auto"/>
              <w:right w:val="single" w:sz="4" w:space="0" w:color="auto"/>
            </w:tcBorders>
            <w:shd w:val="clear" w:color="auto" w:fill="auto"/>
            <w:noWrap/>
            <w:vAlign w:val="bottom"/>
            <w:hideMark/>
          </w:tcPr>
          <w:p w14:paraId="52982E73"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0.5%</w:t>
            </w:r>
          </w:p>
        </w:tc>
        <w:tc>
          <w:tcPr>
            <w:tcW w:w="1180" w:type="dxa"/>
            <w:tcBorders>
              <w:top w:val="nil"/>
              <w:left w:val="nil"/>
              <w:bottom w:val="single" w:sz="4" w:space="0" w:color="auto"/>
              <w:right w:val="single" w:sz="4" w:space="0" w:color="auto"/>
            </w:tcBorders>
            <w:shd w:val="clear" w:color="auto" w:fill="auto"/>
            <w:noWrap/>
            <w:vAlign w:val="bottom"/>
            <w:hideMark/>
          </w:tcPr>
          <w:p w14:paraId="333AD5BC"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1.4%</w:t>
            </w:r>
          </w:p>
        </w:tc>
      </w:tr>
      <w:tr w:rsidR="001B0B75" w:rsidRPr="001B0B75" w14:paraId="0B089F88"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1F55E92C"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Battery EV Cars (%) </w:t>
            </w:r>
          </w:p>
        </w:tc>
        <w:tc>
          <w:tcPr>
            <w:tcW w:w="1180" w:type="dxa"/>
            <w:tcBorders>
              <w:top w:val="nil"/>
              <w:left w:val="nil"/>
              <w:bottom w:val="single" w:sz="4" w:space="0" w:color="auto"/>
              <w:right w:val="single" w:sz="4" w:space="0" w:color="auto"/>
            </w:tcBorders>
            <w:shd w:val="clear" w:color="auto" w:fill="auto"/>
            <w:noWrap/>
            <w:vAlign w:val="bottom"/>
            <w:hideMark/>
          </w:tcPr>
          <w:p w14:paraId="3DDEF10F"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 xml:space="preserve">- </w:t>
            </w:r>
          </w:p>
        </w:tc>
        <w:tc>
          <w:tcPr>
            <w:tcW w:w="1180" w:type="dxa"/>
            <w:tcBorders>
              <w:top w:val="nil"/>
              <w:left w:val="nil"/>
              <w:bottom w:val="single" w:sz="4" w:space="0" w:color="auto"/>
              <w:right w:val="single" w:sz="4" w:space="0" w:color="auto"/>
            </w:tcBorders>
            <w:shd w:val="clear" w:color="auto" w:fill="auto"/>
            <w:noWrap/>
            <w:vAlign w:val="bottom"/>
            <w:hideMark/>
          </w:tcPr>
          <w:p w14:paraId="2CD2AF82"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 xml:space="preserve">- </w:t>
            </w:r>
          </w:p>
        </w:tc>
        <w:tc>
          <w:tcPr>
            <w:tcW w:w="1180" w:type="dxa"/>
            <w:tcBorders>
              <w:top w:val="nil"/>
              <w:left w:val="nil"/>
              <w:bottom w:val="single" w:sz="4" w:space="0" w:color="auto"/>
              <w:right w:val="single" w:sz="4" w:space="0" w:color="auto"/>
            </w:tcBorders>
            <w:shd w:val="clear" w:color="auto" w:fill="auto"/>
            <w:noWrap/>
            <w:vAlign w:val="bottom"/>
            <w:hideMark/>
          </w:tcPr>
          <w:p w14:paraId="29A3C6A6"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w:t>
            </w:r>
          </w:p>
        </w:tc>
      </w:tr>
    </w:tbl>
    <w:p w14:paraId="64DCD3FC" w14:textId="77777777" w:rsidR="001B0B75" w:rsidRDefault="001B0B75" w:rsidP="001B0B75">
      <w:pPr>
        <w:spacing w:after="0"/>
        <w:rPr>
          <w:b/>
        </w:rPr>
      </w:pPr>
    </w:p>
    <w:p w14:paraId="06BD5181" w14:textId="77777777" w:rsidR="00BB23A5" w:rsidRPr="00BB23A5" w:rsidRDefault="00BB23A5" w:rsidP="00BB23A5">
      <w:pPr>
        <w:pStyle w:val="Caption"/>
        <w:keepNext/>
        <w:spacing w:after="0"/>
        <w:rPr>
          <w:rFonts w:ascii="Calibri" w:eastAsia="Times New Roman" w:hAnsi="Calibri" w:cs="Times New Roman"/>
          <w:b w:val="0"/>
          <w:bCs w:val="0"/>
          <w:color w:val="000000"/>
          <w:sz w:val="22"/>
          <w:szCs w:val="22"/>
          <w:lang w:eastAsia="en-GB"/>
        </w:rPr>
      </w:pPr>
      <w:r w:rsidRPr="00BB23A5">
        <w:rPr>
          <w:rFonts w:ascii="Calibri" w:eastAsia="Times New Roman" w:hAnsi="Calibri" w:cs="Times New Roman"/>
          <w:bCs w:val="0"/>
          <w:color w:val="000000"/>
          <w:sz w:val="22"/>
          <w:szCs w:val="22"/>
          <w:lang w:eastAsia="en-GB"/>
        </w:rPr>
        <w:t xml:space="preserve">Table </w:t>
      </w:r>
      <w:r w:rsidRPr="00BB23A5">
        <w:rPr>
          <w:rFonts w:ascii="Calibri" w:eastAsia="Times New Roman" w:hAnsi="Calibri" w:cs="Times New Roman"/>
          <w:bCs w:val="0"/>
          <w:color w:val="000000"/>
          <w:sz w:val="22"/>
          <w:szCs w:val="22"/>
          <w:lang w:eastAsia="en-GB"/>
        </w:rPr>
        <w:fldChar w:fldCharType="begin"/>
      </w:r>
      <w:r w:rsidRPr="00BB23A5">
        <w:rPr>
          <w:rFonts w:ascii="Calibri" w:eastAsia="Times New Roman" w:hAnsi="Calibri" w:cs="Times New Roman"/>
          <w:bCs w:val="0"/>
          <w:color w:val="000000"/>
          <w:sz w:val="22"/>
          <w:szCs w:val="22"/>
          <w:lang w:eastAsia="en-GB"/>
        </w:rPr>
        <w:instrText xml:space="preserve"> SEQ Table \* ARABIC </w:instrText>
      </w:r>
      <w:r w:rsidRPr="00BB23A5">
        <w:rPr>
          <w:rFonts w:ascii="Calibri" w:eastAsia="Times New Roman" w:hAnsi="Calibri" w:cs="Times New Roman"/>
          <w:bCs w:val="0"/>
          <w:color w:val="000000"/>
          <w:sz w:val="22"/>
          <w:szCs w:val="22"/>
          <w:lang w:eastAsia="en-GB"/>
        </w:rPr>
        <w:fldChar w:fldCharType="separate"/>
      </w:r>
      <w:r w:rsidR="00947DF1">
        <w:rPr>
          <w:rFonts w:ascii="Calibri" w:eastAsia="Times New Roman" w:hAnsi="Calibri" w:cs="Times New Roman"/>
          <w:bCs w:val="0"/>
          <w:noProof/>
          <w:color w:val="000000"/>
          <w:sz w:val="22"/>
          <w:szCs w:val="22"/>
          <w:lang w:eastAsia="en-GB"/>
        </w:rPr>
        <w:t>11</w:t>
      </w:r>
      <w:r w:rsidRPr="00BB23A5">
        <w:rPr>
          <w:rFonts w:ascii="Calibri" w:eastAsia="Times New Roman" w:hAnsi="Calibri" w:cs="Times New Roman"/>
          <w:bCs w:val="0"/>
          <w:color w:val="000000"/>
          <w:sz w:val="22"/>
          <w:szCs w:val="22"/>
          <w:lang w:eastAsia="en-GB"/>
        </w:rPr>
        <w:fldChar w:fldCharType="end"/>
      </w:r>
      <w:r w:rsidRPr="00BB23A5">
        <w:rPr>
          <w:rFonts w:ascii="Calibri" w:eastAsia="Times New Roman" w:hAnsi="Calibri" w:cs="Times New Roman"/>
          <w:bCs w:val="0"/>
          <w:color w:val="000000"/>
          <w:sz w:val="22"/>
          <w:szCs w:val="22"/>
          <w:lang w:eastAsia="en-GB"/>
        </w:rPr>
        <w:t>:</w:t>
      </w:r>
      <w:r w:rsidRPr="00BB23A5">
        <w:rPr>
          <w:rFonts w:ascii="Calibri" w:eastAsia="Times New Roman" w:hAnsi="Calibri" w:cs="Times New Roman"/>
          <w:b w:val="0"/>
          <w:bCs w:val="0"/>
          <w:color w:val="000000"/>
          <w:sz w:val="22"/>
          <w:szCs w:val="22"/>
          <w:lang w:eastAsia="en-GB"/>
        </w:rPr>
        <w:t xml:space="preserve"> Stockbridge A27 roundabout source apportionment</w:t>
      </w:r>
    </w:p>
    <w:tbl>
      <w:tblPr>
        <w:tblW w:w="6480" w:type="dxa"/>
        <w:tblInd w:w="93" w:type="dxa"/>
        <w:tblLook w:val="04A0" w:firstRow="1" w:lastRow="0" w:firstColumn="1" w:lastColumn="0" w:noHBand="0" w:noVBand="1"/>
      </w:tblPr>
      <w:tblGrid>
        <w:gridCol w:w="2940"/>
        <w:gridCol w:w="1180"/>
        <w:gridCol w:w="1180"/>
        <w:gridCol w:w="1180"/>
      </w:tblGrid>
      <w:tr w:rsidR="001B0B75" w:rsidRPr="001B0B75" w14:paraId="1810BD05" w14:textId="77777777" w:rsidTr="001B0B75">
        <w:trPr>
          <w:trHeight w:val="300"/>
        </w:trPr>
        <w:tc>
          <w:tcPr>
            <w:tcW w:w="2940" w:type="dxa"/>
            <w:tcBorders>
              <w:top w:val="nil"/>
              <w:left w:val="nil"/>
              <w:bottom w:val="nil"/>
              <w:right w:val="nil"/>
            </w:tcBorders>
            <w:shd w:val="clear" w:color="auto" w:fill="auto"/>
            <w:noWrap/>
            <w:vAlign w:val="bottom"/>
            <w:hideMark/>
          </w:tcPr>
          <w:p w14:paraId="27EC6502" w14:textId="77777777" w:rsidR="001B0B75" w:rsidRPr="001B0B75" w:rsidRDefault="001B0B75" w:rsidP="001B0B75">
            <w:pPr>
              <w:spacing w:after="0" w:line="240" w:lineRule="auto"/>
              <w:rPr>
                <w:rFonts w:ascii="Calibri" w:eastAsia="Times New Roman" w:hAnsi="Calibri" w:cs="Times New Roman"/>
                <w:color w:val="000000"/>
                <w:lang w:eastAsia="en-GB"/>
              </w:rPr>
            </w:pPr>
          </w:p>
        </w:tc>
        <w:tc>
          <w:tcPr>
            <w:tcW w:w="35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BB879" w14:textId="77777777" w:rsidR="001B0B75" w:rsidRPr="001B0B75" w:rsidRDefault="001B0B75" w:rsidP="001B0B75">
            <w:pPr>
              <w:spacing w:after="0" w:line="240" w:lineRule="auto"/>
              <w:jc w:val="center"/>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N</w:t>
            </w:r>
            <w:r>
              <w:rPr>
                <w:rFonts w:ascii="Calibri" w:eastAsia="Times New Roman" w:hAnsi="Calibri" w:cs="Times New Roman"/>
                <w:b/>
                <w:bCs/>
                <w:color w:val="000000"/>
                <w:lang w:eastAsia="en-GB"/>
              </w:rPr>
              <w:t>O</w:t>
            </w:r>
            <w:r w:rsidRPr="001B0B75">
              <w:rPr>
                <w:rFonts w:ascii="Calibri" w:eastAsia="Times New Roman" w:hAnsi="Calibri" w:cs="Times New Roman"/>
                <w:b/>
                <w:bCs/>
                <w:color w:val="000000"/>
                <w:lang w:eastAsia="en-GB"/>
              </w:rPr>
              <w:t>x source apportionment</w:t>
            </w:r>
          </w:p>
        </w:tc>
      </w:tr>
      <w:tr w:rsidR="001B0B75" w:rsidRPr="001B0B75" w14:paraId="47B2654E" w14:textId="77777777" w:rsidTr="001B0B75">
        <w:trPr>
          <w:trHeight w:val="300"/>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03218"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Vehicle type:</w:t>
            </w:r>
          </w:p>
        </w:tc>
        <w:tc>
          <w:tcPr>
            <w:tcW w:w="1180" w:type="dxa"/>
            <w:tcBorders>
              <w:top w:val="nil"/>
              <w:left w:val="nil"/>
              <w:bottom w:val="single" w:sz="4" w:space="0" w:color="auto"/>
              <w:right w:val="single" w:sz="4" w:space="0" w:color="auto"/>
            </w:tcBorders>
            <w:shd w:val="clear" w:color="auto" w:fill="auto"/>
            <w:noWrap/>
            <w:vAlign w:val="bottom"/>
            <w:hideMark/>
          </w:tcPr>
          <w:p w14:paraId="34FEB549" w14:textId="77777777" w:rsidR="001B0B75" w:rsidRPr="001B0B75" w:rsidRDefault="001B0B75" w:rsidP="001B0B75">
            <w:pPr>
              <w:spacing w:after="0" w:line="240" w:lineRule="auto"/>
              <w:jc w:val="center"/>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2018</w:t>
            </w:r>
          </w:p>
        </w:tc>
        <w:tc>
          <w:tcPr>
            <w:tcW w:w="1180" w:type="dxa"/>
            <w:tcBorders>
              <w:top w:val="nil"/>
              <w:left w:val="nil"/>
              <w:bottom w:val="single" w:sz="4" w:space="0" w:color="auto"/>
              <w:right w:val="single" w:sz="4" w:space="0" w:color="auto"/>
            </w:tcBorders>
            <w:shd w:val="clear" w:color="auto" w:fill="auto"/>
            <w:noWrap/>
            <w:vAlign w:val="bottom"/>
            <w:hideMark/>
          </w:tcPr>
          <w:p w14:paraId="2A7D80F2" w14:textId="77777777" w:rsidR="001B0B75" w:rsidRPr="001B0B75" w:rsidRDefault="001B0B75" w:rsidP="001B0B75">
            <w:pPr>
              <w:spacing w:after="0" w:line="240" w:lineRule="auto"/>
              <w:jc w:val="center"/>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2020</w:t>
            </w:r>
          </w:p>
        </w:tc>
        <w:tc>
          <w:tcPr>
            <w:tcW w:w="1180" w:type="dxa"/>
            <w:tcBorders>
              <w:top w:val="nil"/>
              <w:left w:val="nil"/>
              <w:bottom w:val="single" w:sz="4" w:space="0" w:color="auto"/>
              <w:right w:val="single" w:sz="4" w:space="0" w:color="auto"/>
            </w:tcBorders>
            <w:shd w:val="clear" w:color="auto" w:fill="auto"/>
            <w:noWrap/>
            <w:vAlign w:val="bottom"/>
            <w:hideMark/>
          </w:tcPr>
          <w:p w14:paraId="2BC88C12" w14:textId="77777777" w:rsidR="001B0B75" w:rsidRPr="001B0B75" w:rsidRDefault="001B0B75" w:rsidP="001B0B75">
            <w:pPr>
              <w:spacing w:after="0" w:line="240" w:lineRule="auto"/>
              <w:jc w:val="center"/>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2025</w:t>
            </w:r>
          </w:p>
        </w:tc>
      </w:tr>
      <w:tr w:rsidR="001B0B75" w:rsidRPr="001B0B75" w14:paraId="3CBDFB83"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21E54837"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Petrol Cars (%) </w:t>
            </w:r>
          </w:p>
        </w:tc>
        <w:tc>
          <w:tcPr>
            <w:tcW w:w="1180" w:type="dxa"/>
            <w:tcBorders>
              <w:top w:val="nil"/>
              <w:left w:val="nil"/>
              <w:bottom w:val="single" w:sz="4" w:space="0" w:color="auto"/>
              <w:right w:val="single" w:sz="4" w:space="0" w:color="auto"/>
            </w:tcBorders>
            <w:shd w:val="clear" w:color="auto" w:fill="auto"/>
            <w:noWrap/>
            <w:vAlign w:val="bottom"/>
            <w:hideMark/>
          </w:tcPr>
          <w:p w14:paraId="74102884"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5.3%</w:t>
            </w:r>
          </w:p>
        </w:tc>
        <w:tc>
          <w:tcPr>
            <w:tcW w:w="1180" w:type="dxa"/>
            <w:tcBorders>
              <w:top w:val="nil"/>
              <w:left w:val="nil"/>
              <w:bottom w:val="single" w:sz="4" w:space="0" w:color="auto"/>
              <w:right w:val="single" w:sz="4" w:space="0" w:color="auto"/>
            </w:tcBorders>
            <w:shd w:val="clear" w:color="auto" w:fill="auto"/>
            <w:noWrap/>
            <w:vAlign w:val="bottom"/>
            <w:hideMark/>
          </w:tcPr>
          <w:p w14:paraId="2AEF352F"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5.6%</w:t>
            </w:r>
          </w:p>
        </w:tc>
        <w:tc>
          <w:tcPr>
            <w:tcW w:w="1180" w:type="dxa"/>
            <w:tcBorders>
              <w:top w:val="nil"/>
              <w:left w:val="nil"/>
              <w:bottom w:val="single" w:sz="4" w:space="0" w:color="auto"/>
              <w:right w:val="single" w:sz="4" w:space="0" w:color="auto"/>
            </w:tcBorders>
            <w:shd w:val="clear" w:color="auto" w:fill="auto"/>
            <w:noWrap/>
            <w:vAlign w:val="bottom"/>
            <w:hideMark/>
          </w:tcPr>
          <w:p w14:paraId="35D80ED6"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8.0%</w:t>
            </w:r>
          </w:p>
        </w:tc>
      </w:tr>
      <w:tr w:rsidR="001B0B75" w:rsidRPr="001B0B75" w14:paraId="2257B7FE"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5F66AD46"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Diesel Cars (%) </w:t>
            </w:r>
          </w:p>
        </w:tc>
        <w:tc>
          <w:tcPr>
            <w:tcW w:w="1180" w:type="dxa"/>
            <w:tcBorders>
              <w:top w:val="nil"/>
              <w:left w:val="nil"/>
              <w:bottom w:val="single" w:sz="4" w:space="0" w:color="auto"/>
              <w:right w:val="single" w:sz="4" w:space="0" w:color="auto"/>
            </w:tcBorders>
            <w:shd w:val="clear" w:color="auto" w:fill="auto"/>
            <w:noWrap/>
            <w:vAlign w:val="bottom"/>
            <w:hideMark/>
          </w:tcPr>
          <w:p w14:paraId="01124AB9"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36.2%</w:t>
            </w:r>
          </w:p>
        </w:tc>
        <w:tc>
          <w:tcPr>
            <w:tcW w:w="1180" w:type="dxa"/>
            <w:tcBorders>
              <w:top w:val="nil"/>
              <w:left w:val="nil"/>
              <w:bottom w:val="single" w:sz="4" w:space="0" w:color="auto"/>
              <w:right w:val="single" w:sz="4" w:space="0" w:color="auto"/>
            </w:tcBorders>
            <w:shd w:val="clear" w:color="auto" w:fill="auto"/>
            <w:noWrap/>
            <w:vAlign w:val="bottom"/>
            <w:hideMark/>
          </w:tcPr>
          <w:p w14:paraId="35C94B16"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39.1%</w:t>
            </w:r>
          </w:p>
        </w:tc>
        <w:tc>
          <w:tcPr>
            <w:tcW w:w="1180" w:type="dxa"/>
            <w:tcBorders>
              <w:top w:val="nil"/>
              <w:left w:val="nil"/>
              <w:bottom w:val="single" w:sz="4" w:space="0" w:color="auto"/>
              <w:right w:val="single" w:sz="4" w:space="0" w:color="auto"/>
            </w:tcBorders>
            <w:shd w:val="clear" w:color="auto" w:fill="auto"/>
            <w:noWrap/>
            <w:vAlign w:val="bottom"/>
            <w:hideMark/>
          </w:tcPr>
          <w:p w14:paraId="06526775"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42.1%</w:t>
            </w:r>
          </w:p>
        </w:tc>
      </w:tr>
      <w:tr w:rsidR="001B0B75" w:rsidRPr="001B0B75" w14:paraId="73693323"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1A3A3F80"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Taxis (%) </w:t>
            </w:r>
          </w:p>
        </w:tc>
        <w:tc>
          <w:tcPr>
            <w:tcW w:w="1180" w:type="dxa"/>
            <w:tcBorders>
              <w:top w:val="nil"/>
              <w:left w:val="nil"/>
              <w:bottom w:val="single" w:sz="4" w:space="0" w:color="auto"/>
              <w:right w:val="single" w:sz="4" w:space="0" w:color="auto"/>
            </w:tcBorders>
            <w:shd w:val="clear" w:color="auto" w:fill="auto"/>
            <w:noWrap/>
            <w:vAlign w:val="bottom"/>
            <w:hideMark/>
          </w:tcPr>
          <w:p w14:paraId="47A2DC21"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 xml:space="preserve">- </w:t>
            </w:r>
          </w:p>
        </w:tc>
        <w:tc>
          <w:tcPr>
            <w:tcW w:w="1180" w:type="dxa"/>
            <w:tcBorders>
              <w:top w:val="nil"/>
              <w:left w:val="nil"/>
              <w:bottom w:val="single" w:sz="4" w:space="0" w:color="auto"/>
              <w:right w:val="single" w:sz="4" w:space="0" w:color="auto"/>
            </w:tcBorders>
            <w:shd w:val="clear" w:color="auto" w:fill="auto"/>
            <w:noWrap/>
            <w:vAlign w:val="bottom"/>
            <w:hideMark/>
          </w:tcPr>
          <w:p w14:paraId="4DE3B488"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 xml:space="preserve">- </w:t>
            </w:r>
          </w:p>
        </w:tc>
        <w:tc>
          <w:tcPr>
            <w:tcW w:w="1180" w:type="dxa"/>
            <w:tcBorders>
              <w:top w:val="nil"/>
              <w:left w:val="nil"/>
              <w:bottom w:val="single" w:sz="4" w:space="0" w:color="auto"/>
              <w:right w:val="single" w:sz="4" w:space="0" w:color="auto"/>
            </w:tcBorders>
            <w:shd w:val="clear" w:color="auto" w:fill="auto"/>
            <w:noWrap/>
            <w:vAlign w:val="bottom"/>
            <w:hideMark/>
          </w:tcPr>
          <w:p w14:paraId="33919761"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w:t>
            </w:r>
          </w:p>
        </w:tc>
      </w:tr>
      <w:tr w:rsidR="001B0B75" w:rsidRPr="001B0B75" w14:paraId="7AACB4EB"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25DBA9D2"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Petrol LGVs (%) </w:t>
            </w:r>
          </w:p>
        </w:tc>
        <w:tc>
          <w:tcPr>
            <w:tcW w:w="1180" w:type="dxa"/>
            <w:tcBorders>
              <w:top w:val="nil"/>
              <w:left w:val="nil"/>
              <w:bottom w:val="single" w:sz="4" w:space="0" w:color="auto"/>
              <w:right w:val="single" w:sz="4" w:space="0" w:color="auto"/>
            </w:tcBorders>
            <w:shd w:val="clear" w:color="auto" w:fill="auto"/>
            <w:noWrap/>
            <w:vAlign w:val="bottom"/>
            <w:hideMark/>
          </w:tcPr>
          <w:p w14:paraId="770EAA89"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0.1%</w:t>
            </w:r>
          </w:p>
        </w:tc>
        <w:tc>
          <w:tcPr>
            <w:tcW w:w="1180" w:type="dxa"/>
            <w:tcBorders>
              <w:top w:val="nil"/>
              <w:left w:val="nil"/>
              <w:bottom w:val="single" w:sz="4" w:space="0" w:color="auto"/>
              <w:right w:val="single" w:sz="4" w:space="0" w:color="auto"/>
            </w:tcBorders>
            <w:shd w:val="clear" w:color="auto" w:fill="auto"/>
            <w:noWrap/>
            <w:vAlign w:val="bottom"/>
            <w:hideMark/>
          </w:tcPr>
          <w:p w14:paraId="08B15464"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0.1%</w:t>
            </w:r>
          </w:p>
        </w:tc>
        <w:tc>
          <w:tcPr>
            <w:tcW w:w="1180" w:type="dxa"/>
            <w:tcBorders>
              <w:top w:val="nil"/>
              <w:left w:val="nil"/>
              <w:bottom w:val="single" w:sz="4" w:space="0" w:color="auto"/>
              <w:right w:val="single" w:sz="4" w:space="0" w:color="auto"/>
            </w:tcBorders>
            <w:shd w:val="clear" w:color="auto" w:fill="auto"/>
            <w:noWrap/>
            <w:vAlign w:val="bottom"/>
            <w:hideMark/>
          </w:tcPr>
          <w:p w14:paraId="15FF354E"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0.1%</w:t>
            </w:r>
          </w:p>
        </w:tc>
      </w:tr>
      <w:tr w:rsidR="001B0B75" w:rsidRPr="001B0B75" w14:paraId="5EC7CABA"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4EA5956E"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Diesel LGVs (%) </w:t>
            </w:r>
          </w:p>
        </w:tc>
        <w:tc>
          <w:tcPr>
            <w:tcW w:w="1180" w:type="dxa"/>
            <w:tcBorders>
              <w:top w:val="nil"/>
              <w:left w:val="nil"/>
              <w:bottom w:val="single" w:sz="4" w:space="0" w:color="auto"/>
              <w:right w:val="single" w:sz="4" w:space="0" w:color="auto"/>
            </w:tcBorders>
            <w:shd w:val="clear" w:color="auto" w:fill="auto"/>
            <w:noWrap/>
            <w:vAlign w:val="bottom"/>
            <w:hideMark/>
          </w:tcPr>
          <w:p w14:paraId="416272C1"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35.9%</w:t>
            </w:r>
          </w:p>
        </w:tc>
        <w:tc>
          <w:tcPr>
            <w:tcW w:w="1180" w:type="dxa"/>
            <w:tcBorders>
              <w:top w:val="nil"/>
              <w:left w:val="nil"/>
              <w:bottom w:val="single" w:sz="4" w:space="0" w:color="auto"/>
              <w:right w:val="single" w:sz="4" w:space="0" w:color="auto"/>
            </w:tcBorders>
            <w:shd w:val="clear" w:color="auto" w:fill="auto"/>
            <w:noWrap/>
            <w:vAlign w:val="bottom"/>
            <w:hideMark/>
          </w:tcPr>
          <w:p w14:paraId="78D92F20"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37.1%</w:t>
            </w:r>
          </w:p>
        </w:tc>
        <w:tc>
          <w:tcPr>
            <w:tcW w:w="1180" w:type="dxa"/>
            <w:tcBorders>
              <w:top w:val="nil"/>
              <w:left w:val="nil"/>
              <w:bottom w:val="single" w:sz="4" w:space="0" w:color="auto"/>
              <w:right w:val="single" w:sz="4" w:space="0" w:color="auto"/>
            </w:tcBorders>
            <w:shd w:val="clear" w:color="auto" w:fill="auto"/>
            <w:noWrap/>
            <w:vAlign w:val="bottom"/>
            <w:hideMark/>
          </w:tcPr>
          <w:p w14:paraId="3EF1D6BC"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35.5%</w:t>
            </w:r>
          </w:p>
        </w:tc>
      </w:tr>
      <w:tr w:rsidR="001B0B75" w:rsidRPr="001B0B75" w14:paraId="66473D2C"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31B93902"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Rigid HGVs (%) </w:t>
            </w:r>
          </w:p>
        </w:tc>
        <w:tc>
          <w:tcPr>
            <w:tcW w:w="1180" w:type="dxa"/>
            <w:tcBorders>
              <w:top w:val="nil"/>
              <w:left w:val="nil"/>
              <w:bottom w:val="single" w:sz="4" w:space="0" w:color="auto"/>
              <w:right w:val="single" w:sz="4" w:space="0" w:color="auto"/>
            </w:tcBorders>
            <w:shd w:val="clear" w:color="auto" w:fill="auto"/>
            <w:noWrap/>
            <w:vAlign w:val="bottom"/>
            <w:hideMark/>
          </w:tcPr>
          <w:p w14:paraId="29CCC9BC"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16.1%</w:t>
            </w:r>
          </w:p>
        </w:tc>
        <w:tc>
          <w:tcPr>
            <w:tcW w:w="1180" w:type="dxa"/>
            <w:tcBorders>
              <w:top w:val="nil"/>
              <w:left w:val="nil"/>
              <w:bottom w:val="single" w:sz="4" w:space="0" w:color="auto"/>
              <w:right w:val="single" w:sz="4" w:space="0" w:color="auto"/>
            </w:tcBorders>
            <w:shd w:val="clear" w:color="auto" w:fill="auto"/>
            <w:noWrap/>
            <w:vAlign w:val="bottom"/>
            <w:hideMark/>
          </w:tcPr>
          <w:p w14:paraId="3063FA21"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12.8%</w:t>
            </w:r>
          </w:p>
        </w:tc>
        <w:tc>
          <w:tcPr>
            <w:tcW w:w="1180" w:type="dxa"/>
            <w:tcBorders>
              <w:top w:val="nil"/>
              <w:left w:val="nil"/>
              <w:bottom w:val="single" w:sz="4" w:space="0" w:color="auto"/>
              <w:right w:val="single" w:sz="4" w:space="0" w:color="auto"/>
            </w:tcBorders>
            <w:shd w:val="clear" w:color="auto" w:fill="auto"/>
            <w:noWrap/>
            <w:vAlign w:val="bottom"/>
            <w:hideMark/>
          </w:tcPr>
          <w:p w14:paraId="067F8CBF"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8.1%</w:t>
            </w:r>
          </w:p>
        </w:tc>
      </w:tr>
      <w:tr w:rsidR="001B0B75" w:rsidRPr="001B0B75" w14:paraId="4F2E8EBB"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5602AD41"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Artic HGVs (%) </w:t>
            </w:r>
          </w:p>
        </w:tc>
        <w:tc>
          <w:tcPr>
            <w:tcW w:w="1180" w:type="dxa"/>
            <w:tcBorders>
              <w:top w:val="nil"/>
              <w:left w:val="nil"/>
              <w:bottom w:val="single" w:sz="4" w:space="0" w:color="auto"/>
              <w:right w:val="single" w:sz="4" w:space="0" w:color="auto"/>
            </w:tcBorders>
            <w:shd w:val="clear" w:color="auto" w:fill="auto"/>
            <w:noWrap/>
            <w:vAlign w:val="bottom"/>
            <w:hideMark/>
          </w:tcPr>
          <w:p w14:paraId="3FBD8283"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4.5%</w:t>
            </w:r>
          </w:p>
        </w:tc>
        <w:tc>
          <w:tcPr>
            <w:tcW w:w="1180" w:type="dxa"/>
            <w:tcBorders>
              <w:top w:val="nil"/>
              <w:left w:val="nil"/>
              <w:bottom w:val="single" w:sz="4" w:space="0" w:color="auto"/>
              <w:right w:val="single" w:sz="4" w:space="0" w:color="auto"/>
            </w:tcBorders>
            <w:shd w:val="clear" w:color="auto" w:fill="auto"/>
            <w:noWrap/>
            <w:vAlign w:val="bottom"/>
            <w:hideMark/>
          </w:tcPr>
          <w:p w14:paraId="6444A4A5"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3.0%</w:t>
            </w:r>
          </w:p>
        </w:tc>
        <w:tc>
          <w:tcPr>
            <w:tcW w:w="1180" w:type="dxa"/>
            <w:tcBorders>
              <w:top w:val="nil"/>
              <w:left w:val="nil"/>
              <w:bottom w:val="single" w:sz="4" w:space="0" w:color="auto"/>
              <w:right w:val="single" w:sz="4" w:space="0" w:color="auto"/>
            </w:tcBorders>
            <w:shd w:val="clear" w:color="auto" w:fill="auto"/>
            <w:noWrap/>
            <w:vAlign w:val="bottom"/>
            <w:hideMark/>
          </w:tcPr>
          <w:p w14:paraId="386D2B9A"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2.3%</w:t>
            </w:r>
          </w:p>
        </w:tc>
      </w:tr>
      <w:tr w:rsidR="001B0B75" w:rsidRPr="001B0B75" w14:paraId="6ED8B2A7"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48268954"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Buses/Coaches (%) </w:t>
            </w:r>
          </w:p>
        </w:tc>
        <w:tc>
          <w:tcPr>
            <w:tcW w:w="1180" w:type="dxa"/>
            <w:tcBorders>
              <w:top w:val="nil"/>
              <w:left w:val="nil"/>
              <w:bottom w:val="single" w:sz="4" w:space="0" w:color="auto"/>
              <w:right w:val="single" w:sz="4" w:space="0" w:color="auto"/>
            </w:tcBorders>
            <w:shd w:val="clear" w:color="auto" w:fill="auto"/>
            <w:noWrap/>
            <w:vAlign w:val="bottom"/>
            <w:hideMark/>
          </w:tcPr>
          <w:p w14:paraId="096F3CDA"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1.6%</w:t>
            </w:r>
          </w:p>
        </w:tc>
        <w:tc>
          <w:tcPr>
            <w:tcW w:w="1180" w:type="dxa"/>
            <w:tcBorders>
              <w:top w:val="nil"/>
              <w:left w:val="nil"/>
              <w:bottom w:val="single" w:sz="4" w:space="0" w:color="auto"/>
              <w:right w:val="single" w:sz="4" w:space="0" w:color="auto"/>
            </w:tcBorders>
            <w:shd w:val="clear" w:color="auto" w:fill="auto"/>
            <w:noWrap/>
            <w:vAlign w:val="bottom"/>
            <w:hideMark/>
          </w:tcPr>
          <w:p w14:paraId="0B7E28CD"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1.7%</w:t>
            </w:r>
          </w:p>
        </w:tc>
        <w:tc>
          <w:tcPr>
            <w:tcW w:w="1180" w:type="dxa"/>
            <w:tcBorders>
              <w:top w:val="nil"/>
              <w:left w:val="nil"/>
              <w:bottom w:val="single" w:sz="4" w:space="0" w:color="auto"/>
              <w:right w:val="single" w:sz="4" w:space="0" w:color="auto"/>
            </w:tcBorders>
            <w:shd w:val="clear" w:color="auto" w:fill="auto"/>
            <w:noWrap/>
            <w:vAlign w:val="bottom"/>
            <w:hideMark/>
          </w:tcPr>
          <w:p w14:paraId="01EFFD65"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2.2%</w:t>
            </w:r>
          </w:p>
        </w:tc>
      </w:tr>
      <w:tr w:rsidR="001B0B75" w:rsidRPr="001B0B75" w14:paraId="3C710CB0"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0A4A9BE5"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Motorcycles (%) </w:t>
            </w:r>
          </w:p>
        </w:tc>
        <w:tc>
          <w:tcPr>
            <w:tcW w:w="1180" w:type="dxa"/>
            <w:tcBorders>
              <w:top w:val="nil"/>
              <w:left w:val="nil"/>
              <w:bottom w:val="single" w:sz="4" w:space="0" w:color="auto"/>
              <w:right w:val="single" w:sz="4" w:space="0" w:color="auto"/>
            </w:tcBorders>
            <w:shd w:val="clear" w:color="auto" w:fill="auto"/>
            <w:noWrap/>
            <w:vAlign w:val="bottom"/>
            <w:hideMark/>
          </w:tcPr>
          <w:p w14:paraId="6B4B67E5"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 xml:space="preserve">- </w:t>
            </w:r>
          </w:p>
        </w:tc>
        <w:tc>
          <w:tcPr>
            <w:tcW w:w="1180" w:type="dxa"/>
            <w:tcBorders>
              <w:top w:val="nil"/>
              <w:left w:val="nil"/>
              <w:bottom w:val="single" w:sz="4" w:space="0" w:color="auto"/>
              <w:right w:val="single" w:sz="4" w:space="0" w:color="auto"/>
            </w:tcBorders>
            <w:shd w:val="clear" w:color="auto" w:fill="auto"/>
            <w:noWrap/>
            <w:vAlign w:val="bottom"/>
            <w:hideMark/>
          </w:tcPr>
          <w:p w14:paraId="46DDB5E0"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 xml:space="preserve">- </w:t>
            </w:r>
          </w:p>
        </w:tc>
        <w:tc>
          <w:tcPr>
            <w:tcW w:w="1180" w:type="dxa"/>
            <w:tcBorders>
              <w:top w:val="nil"/>
              <w:left w:val="nil"/>
              <w:bottom w:val="single" w:sz="4" w:space="0" w:color="auto"/>
              <w:right w:val="single" w:sz="4" w:space="0" w:color="auto"/>
            </w:tcBorders>
            <w:shd w:val="clear" w:color="auto" w:fill="auto"/>
            <w:noWrap/>
            <w:vAlign w:val="bottom"/>
            <w:hideMark/>
          </w:tcPr>
          <w:p w14:paraId="42972B9D"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w:t>
            </w:r>
          </w:p>
        </w:tc>
      </w:tr>
      <w:tr w:rsidR="001B0B75" w:rsidRPr="001B0B75" w14:paraId="74700861"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58008FEE"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Full Hybrid Petrol Cars (%) </w:t>
            </w:r>
          </w:p>
        </w:tc>
        <w:tc>
          <w:tcPr>
            <w:tcW w:w="1180" w:type="dxa"/>
            <w:tcBorders>
              <w:top w:val="nil"/>
              <w:left w:val="nil"/>
              <w:bottom w:val="single" w:sz="4" w:space="0" w:color="auto"/>
              <w:right w:val="single" w:sz="4" w:space="0" w:color="auto"/>
            </w:tcBorders>
            <w:shd w:val="clear" w:color="auto" w:fill="auto"/>
            <w:noWrap/>
            <w:vAlign w:val="bottom"/>
            <w:hideMark/>
          </w:tcPr>
          <w:p w14:paraId="289E8F0E"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0.1%</w:t>
            </w:r>
          </w:p>
        </w:tc>
        <w:tc>
          <w:tcPr>
            <w:tcW w:w="1180" w:type="dxa"/>
            <w:tcBorders>
              <w:top w:val="nil"/>
              <w:left w:val="nil"/>
              <w:bottom w:val="single" w:sz="4" w:space="0" w:color="auto"/>
              <w:right w:val="single" w:sz="4" w:space="0" w:color="auto"/>
            </w:tcBorders>
            <w:shd w:val="clear" w:color="auto" w:fill="auto"/>
            <w:noWrap/>
            <w:vAlign w:val="bottom"/>
            <w:hideMark/>
          </w:tcPr>
          <w:p w14:paraId="65E2CDA5"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0.2%</w:t>
            </w:r>
          </w:p>
        </w:tc>
        <w:tc>
          <w:tcPr>
            <w:tcW w:w="1180" w:type="dxa"/>
            <w:tcBorders>
              <w:top w:val="nil"/>
              <w:left w:val="nil"/>
              <w:bottom w:val="single" w:sz="4" w:space="0" w:color="auto"/>
              <w:right w:val="single" w:sz="4" w:space="0" w:color="auto"/>
            </w:tcBorders>
            <w:shd w:val="clear" w:color="auto" w:fill="auto"/>
            <w:noWrap/>
            <w:vAlign w:val="bottom"/>
            <w:hideMark/>
          </w:tcPr>
          <w:p w14:paraId="48F830AC"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0.4%</w:t>
            </w:r>
          </w:p>
        </w:tc>
      </w:tr>
      <w:tr w:rsidR="001B0B75" w:rsidRPr="001B0B75" w14:paraId="262A51C3"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08FE5F89"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Plug-In Hybrid Petrol Cars (%) </w:t>
            </w:r>
          </w:p>
        </w:tc>
        <w:tc>
          <w:tcPr>
            <w:tcW w:w="1180" w:type="dxa"/>
            <w:tcBorders>
              <w:top w:val="nil"/>
              <w:left w:val="nil"/>
              <w:bottom w:val="single" w:sz="4" w:space="0" w:color="auto"/>
              <w:right w:val="single" w:sz="4" w:space="0" w:color="auto"/>
            </w:tcBorders>
            <w:shd w:val="clear" w:color="auto" w:fill="auto"/>
            <w:noWrap/>
            <w:vAlign w:val="bottom"/>
            <w:hideMark/>
          </w:tcPr>
          <w:p w14:paraId="21A3CCA2"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0.0%</w:t>
            </w:r>
          </w:p>
        </w:tc>
        <w:tc>
          <w:tcPr>
            <w:tcW w:w="1180" w:type="dxa"/>
            <w:tcBorders>
              <w:top w:val="nil"/>
              <w:left w:val="nil"/>
              <w:bottom w:val="single" w:sz="4" w:space="0" w:color="auto"/>
              <w:right w:val="single" w:sz="4" w:space="0" w:color="auto"/>
            </w:tcBorders>
            <w:shd w:val="clear" w:color="auto" w:fill="auto"/>
            <w:noWrap/>
            <w:vAlign w:val="bottom"/>
            <w:hideMark/>
          </w:tcPr>
          <w:p w14:paraId="23EE2FBB"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0.0%</w:t>
            </w:r>
          </w:p>
        </w:tc>
        <w:tc>
          <w:tcPr>
            <w:tcW w:w="1180" w:type="dxa"/>
            <w:tcBorders>
              <w:top w:val="nil"/>
              <w:left w:val="nil"/>
              <w:bottom w:val="single" w:sz="4" w:space="0" w:color="auto"/>
              <w:right w:val="single" w:sz="4" w:space="0" w:color="auto"/>
            </w:tcBorders>
            <w:shd w:val="clear" w:color="auto" w:fill="auto"/>
            <w:noWrap/>
            <w:vAlign w:val="bottom"/>
            <w:hideMark/>
          </w:tcPr>
          <w:p w14:paraId="03A9DA5A"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0.1%</w:t>
            </w:r>
          </w:p>
        </w:tc>
      </w:tr>
      <w:tr w:rsidR="001B0B75" w:rsidRPr="001B0B75" w14:paraId="491DEB3A"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408F7FFB"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Full Hybrid Diesel Cars (%) </w:t>
            </w:r>
          </w:p>
        </w:tc>
        <w:tc>
          <w:tcPr>
            <w:tcW w:w="1180" w:type="dxa"/>
            <w:tcBorders>
              <w:top w:val="nil"/>
              <w:left w:val="nil"/>
              <w:bottom w:val="single" w:sz="4" w:space="0" w:color="auto"/>
              <w:right w:val="single" w:sz="4" w:space="0" w:color="auto"/>
            </w:tcBorders>
            <w:shd w:val="clear" w:color="auto" w:fill="auto"/>
            <w:noWrap/>
            <w:vAlign w:val="bottom"/>
            <w:hideMark/>
          </w:tcPr>
          <w:p w14:paraId="5C2D875D"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0.2%</w:t>
            </w:r>
          </w:p>
        </w:tc>
        <w:tc>
          <w:tcPr>
            <w:tcW w:w="1180" w:type="dxa"/>
            <w:tcBorders>
              <w:top w:val="nil"/>
              <w:left w:val="nil"/>
              <w:bottom w:val="single" w:sz="4" w:space="0" w:color="auto"/>
              <w:right w:val="single" w:sz="4" w:space="0" w:color="auto"/>
            </w:tcBorders>
            <w:shd w:val="clear" w:color="auto" w:fill="auto"/>
            <w:noWrap/>
            <w:vAlign w:val="bottom"/>
            <w:hideMark/>
          </w:tcPr>
          <w:p w14:paraId="59AEEA0D"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0.4%</w:t>
            </w:r>
          </w:p>
        </w:tc>
        <w:tc>
          <w:tcPr>
            <w:tcW w:w="1180" w:type="dxa"/>
            <w:tcBorders>
              <w:top w:val="nil"/>
              <w:left w:val="nil"/>
              <w:bottom w:val="single" w:sz="4" w:space="0" w:color="auto"/>
              <w:right w:val="single" w:sz="4" w:space="0" w:color="auto"/>
            </w:tcBorders>
            <w:shd w:val="clear" w:color="auto" w:fill="auto"/>
            <w:noWrap/>
            <w:vAlign w:val="bottom"/>
            <w:hideMark/>
          </w:tcPr>
          <w:p w14:paraId="2655EAD0"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1.2%</w:t>
            </w:r>
          </w:p>
        </w:tc>
      </w:tr>
      <w:tr w:rsidR="001B0B75" w:rsidRPr="001B0B75" w14:paraId="74682E89"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1BD5FCB8"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Battery EV Cars (%) </w:t>
            </w:r>
          </w:p>
        </w:tc>
        <w:tc>
          <w:tcPr>
            <w:tcW w:w="1180" w:type="dxa"/>
            <w:tcBorders>
              <w:top w:val="nil"/>
              <w:left w:val="nil"/>
              <w:bottom w:val="single" w:sz="4" w:space="0" w:color="auto"/>
              <w:right w:val="single" w:sz="4" w:space="0" w:color="auto"/>
            </w:tcBorders>
            <w:shd w:val="clear" w:color="auto" w:fill="auto"/>
            <w:noWrap/>
            <w:vAlign w:val="bottom"/>
            <w:hideMark/>
          </w:tcPr>
          <w:p w14:paraId="7B4CE0DA"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 xml:space="preserve">- </w:t>
            </w:r>
          </w:p>
        </w:tc>
        <w:tc>
          <w:tcPr>
            <w:tcW w:w="1180" w:type="dxa"/>
            <w:tcBorders>
              <w:top w:val="nil"/>
              <w:left w:val="nil"/>
              <w:bottom w:val="single" w:sz="4" w:space="0" w:color="auto"/>
              <w:right w:val="single" w:sz="4" w:space="0" w:color="auto"/>
            </w:tcBorders>
            <w:shd w:val="clear" w:color="auto" w:fill="auto"/>
            <w:noWrap/>
            <w:vAlign w:val="bottom"/>
            <w:hideMark/>
          </w:tcPr>
          <w:p w14:paraId="4F5B0C5F"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 xml:space="preserve">- </w:t>
            </w:r>
          </w:p>
        </w:tc>
        <w:tc>
          <w:tcPr>
            <w:tcW w:w="1180" w:type="dxa"/>
            <w:tcBorders>
              <w:top w:val="nil"/>
              <w:left w:val="nil"/>
              <w:bottom w:val="single" w:sz="4" w:space="0" w:color="auto"/>
              <w:right w:val="single" w:sz="4" w:space="0" w:color="auto"/>
            </w:tcBorders>
            <w:shd w:val="clear" w:color="auto" w:fill="auto"/>
            <w:noWrap/>
            <w:vAlign w:val="bottom"/>
            <w:hideMark/>
          </w:tcPr>
          <w:p w14:paraId="72F6780B"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w:t>
            </w:r>
          </w:p>
        </w:tc>
      </w:tr>
    </w:tbl>
    <w:p w14:paraId="5BCE3760" w14:textId="77777777" w:rsidR="00BB23A5" w:rsidRDefault="00BB23A5" w:rsidP="00BB23A5">
      <w:pPr>
        <w:pStyle w:val="Caption"/>
        <w:keepNext/>
        <w:spacing w:after="0"/>
        <w:rPr>
          <w:rFonts w:ascii="Calibri" w:eastAsia="Times New Roman" w:hAnsi="Calibri" w:cs="Times New Roman"/>
          <w:bCs w:val="0"/>
          <w:color w:val="000000"/>
          <w:sz w:val="22"/>
          <w:szCs w:val="22"/>
          <w:lang w:eastAsia="en-GB"/>
        </w:rPr>
      </w:pPr>
    </w:p>
    <w:p w14:paraId="112F5696" w14:textId="77777777" w:rsidR="00BB23A5" w:rsidRPr="00BB23A5" w:rsidRDefault="00BB23A5" w:rsidP="00BB23A5">
      <w:pPr>
        <w:pStyle w:val="Caption"/>
        <w:keepNext/>
        <w:spacing w:after="0"/>
        <w:rPr>
          <w:rFonts w:ascii="Calibri" w:eastAsia="Times New Roman" w:hAnsi="Calibri" w:cs="Times New Roman"/>
          <w:b w:val="0"/>
          <w:bCs w:val="0"/>
          <w:color w:val="000000"/>
          <w:sz w:val="22"/>
          <w:szCs w:val="22"/>
          <w:lang w:eastAsia="en-GB"/>
        </w:rPr>
      </w:pPr>
      <w:r w:rsidRPr="00BB23A5">
        <w:rPr>
          <w:rFonts w:ascii="Calibri" w:eastAsia="Times New Roman" w:hAnsi="Calibri" w:cs="Times New Roman"/>
          <w:bCs w:val="0"/>
          <w:color w:val="000000"/>
          <w:sz w:val="22"/>
          <w:szCs w:val="22"/>
          <w:lang w:eastAsia="en-GB"/>
        </w:rPr>
        <w:t xml:space="preserve">Table </w:t>
      </w:r>
      <w:r w:rsidRPr="00BB23A5">
        <w:rPr>
          <w:rFonts w:ascii="Calibri" w:eastAsia="Times New Roman" w:hAnsi="Calibri" w:cs="Times New Roman"/>
          <w:bCs w:val="0"/>
          <w:color w:val="000000"/>
          <w:sz w:val="22"/>
          <w:szCs w:val="22"/>
          <w:lang w:eastAsia="en-GB"/>
        </w:rPr>
        <w:fldChar w:fldCharType="begin"/>
      </w:r>
      <w:r w:rsidRPr="00BB23A5">
        <w:rPr>
          <w:rFonts w:ascii="Calibri" w:eastAsia="Times New Roman" w:hAnsi="Calibri" w:cs="Times New Roman"/>
          <w:bCs w:val="0"/>
          <w:color w:val="000000"/>
          <w:sz w:val="22"/>
          <w:szCs w:val="22"/>
          <w:lang w:eastAsia="en-GB"/>
        </w:rPr>
        <w:instrText xml:space="preserve"> SEQ Table \* ARABIC </w:instrText>
      </w:r>
      <w:r w:rsidRPr="00BB23A5">
        <w:rPr>
          <w:rFonts w:ascii="Calibri" w:eastAsia="Times New Roman" w:hAnsi="Calibri" w:cs="Times New Roman"/>
          <w:bCs w:val="0"/>
          <w:color w:val="000000"/>
          <w:sz w:val="22"/>
          <w:szCs w:val="22"/>
          <w:lang w:eastAsia="en-GB"/>
        </w:rPr>
        <w:fldChar w:fldCharType="separate"/>
      </w:r>
      <w:r w:rsidR="00947DF1">
        <w:rPr>
          <w:rFonts w:ascii="Calibri" w:eastAsia="Times New Roman" w:hAnsi="Calibri" w:cs="Times New Roman"/>
          <w:bCs w:val="0"/>
          <w:noProof/>
          <w:color w:val="000000"/>
          <w:sz w:val="22"/>
          <w:szCs w:val="22"/>
          <w:lang w:eastAsia="en-GB"/>
        </w:rPr>
        <w:t>12</w:t>
      </w:r>
      <w:r w:rsidRPr="00BB23A5">
        <w:rPr>
          <w:rFonts w:ascii="Calibri" w:eastAsia="Times New Roman" w:hAnsi="Calibri" w:cs="Times New Roman"/>
          <w:bCs w:val="0"/>
          <w:color w:val="000000"/>
          <w:sz w:val="22"/>
          <w:szCs w:val="22"/>
          <w:lang w:eastAsia="en-GB"/>
        </w:rPr>
        <w:fldChar w:fldCharType="end"/>
      </w:r>
      <w:r w:rsidRPr="00BB23A5">
        <w:rPr>
          <w:rFonts w:ascii="Calibri" w:eastAsia="Times New Roman" w:hAnsi="Calibri" w:cs="Times New Roman"/>
          <w:bCs w:val="0"/>
          <w:color w:val="000000"/>
          <w:sz w:val="22"/>
          <w:szCs w:val="22"/>
          <w:lang w:eastAsia="en-GB"/>
        </w:rPr>
        <w:t>:</w:t>
      </w:r>
      <w:r w:rsidRPr="00BB23A5">
        <w:rPr>
          <w:rFonts w:ascii="Calibri" w:eastAsia="Times New Roman" w:hAnsi="Calibri" w:cs="Times New Roman"/>
          <w:b w:val="0"/>
          <w:bCs w:val="0"/>
          <w:color w:val="000000"/>
          <w:sz w:val="22"/>
          <w:szCs w:val="22"/>
          <w:lang w:eastAsia="en-GB"/>
        </w:rPr>
        <w:t xml:space="preserve"> Rumbold’s Hill AQMA, source apportionment</w:t>
      </w:r>
    </w:p>
    <w:tbl>
      <w:tblPr>
        <w:tblW w:w="6480" w:type="dxa"/>
        <w:tblInd w:w="93" w:type="dxa"/>
        <w:tblLook w:val="04A0" w:firstRow="1" w:lastRow="0" w:firstColumn="1" w:lastColumn="0" w:noHBand="0" w:noVBand="1"/>
      </w:tblPr>
      <w:tblGrid>
        <w:gridCol w:w="2940"/>
        <w:gridCol w:w="1180"/>
        <w:gridCol w:w="1180"/>
        <w:gridCol w:w="1180"/>
      </w:tblGrid>
      <w:tr w:rsidR="001B0B75" w:rsidRPr="001B0B75" w14:paraId="5E465DB6" w14:textId="77777777" w:rsidTr="001B0B75">
        <w:trPr>
          <w:trHeight w:val="300"/>
        </w:trPr>
        <w:tc>
          <w:tcPr>
            <w:tcW w:w="2940" w:type="dxa"/>
            <w:tcBorders>
              <w:top w:val="nil"/>
              <w:left w:val="nil"/>
              <w:bottom w:val="nil"/>
              <w:right w:val="nil"/>
            </w:tcBorders>
            <w:shd w:val="clear" w:color="auto" w:fill="auto"/>
            <w:noWrap/>
            <w:vAlign w:val="bottom"/>
            <w:hideMark/>
          </w:tcPr>
          <w:p w14:paraId="601983DE" w14:textId="77777777" w:rsidR="001B0B75" w:rsidRPr="001B0B75" w:rsidRDefault="001B0B75" w:rsidP="001B0B75">
            <w:pPr>
              <w:spacing w:after="0" w:line="240" w:lineRule="auto"/>
              <w:rPr>
                <w:rFonts w:ascii="Calibri" w:eastAsia="Times New Roman" w:hAnsi="Calibri" w:cs="Times New Roman"/>
                <w:color w:val="000000"/>
                <w:lang w:eastAsia="en-GB"/>
              </w:rPr>
            </w:pPr>
          </w:p>
        </w:tc>
        <w:tc>
          <w:tcPr>
            <w:tcW w:w="35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4D183" w14:textId="77777777" w:rsidR="001B0B75" w:rsidRPr="001B0B75" w:rsidRDefault="001B0B75" w:rsidP="001B0B75">
            <w:pPr>
              <w:spacing w:after="0" w:line="240" w:lineRule="auto"/>
              <w:jc w:val="center"/>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N</w:t>
            </w:r>
            <w:r>
              <w:rPr>
                <w:rFonts w:ascii="Calibri" w:eastAsia="Times New Roman" w:hAnsi="Calibri" w:cs="Times New Roman"/>
                <w:b/>
                <w:bCs/>
                <w:color w:val="000000"/>
                <w:lang w:eastAsia="en-GB"/>
              </w:rPr>
              <w:t>O</w:t>
            </w:r>
            <w:r w:rsidRPr="001B0B75">
              <w:rPr>
                <w:rFonts w:ascii="Calibri" w:eastAsia="Times New Roman" w:hAnsi="Calibri" w:cs="Times New Roman"/>
                <w:b/>
                <w:bCs/>
                <w:color w:val="000000"/>
                <w:lang w:eastAsia="en-GB"/>
              </w:rPr>
              <w:t>x source apportionment</w:t>
            </w:r>
          </w:p>
        </w:tc>
      </w:tr>
      <w:tr w:rsidR="001B0B75" w:rsidRPr="001B0B75" w14:paraId="50E00B38" w14:textId="77777777" w:rsidTr="001B0B75">
        <w:trPr>
          <w:trHeight w:val="300"/>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60820"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Vehicle type:</w:t>
            </w:r>
          </w:p>
        </w:tc>
        <w:tc>
          <w:tcPr>
            <w:tcW w:w="1180" w:type="dxa"/>
            <w:tcBorders>
              <w:top w:val="nil"/>
              <w:left w:val="nil"/>
              <w:bottom w:val="single" w:sz="4" w:space="0" w:color="auto"/>
              <w:right w:val="single" w:sz="4" w:space="0" w:color="auto"/>
            </w:tcBorders>
            <w:shd w:val="clear" w:color="auto" w:fill="auto"/>
            <w:noWrap/>
            <w:vAlign w:val="bottom"/>
            <w:hideMark/>
          </w:tcPr>
          <w:p w14:paraId="4CF29AE0" w14:textId="77777777" w:rsidR="001B0B75" w:rsidRPr="001B0B75" w:rsidRDefault="001B0B75" w:rsidP="001B0B75">
            <w:pPr>
              <w:spacing w:after="0" w:line="240" w:lineRule="auto"/>
              <w:jc w:val="center"/>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2018</w:t>
            </w:r>
          </w:p>
        </w:tc>
        <w:tc>
          <w:tcPr>
            <w:tcW w:w="1180" w:type="dxa"/>
            <w:tcBorders>
              <w:top w:val="nil"/>
              <w:left w:val="nil"/>
              <w:bottom w:val="single" w:sz="4" w:space="0" w:color="auto"/>
              <w:right w:val="single" w:sz="4" w:space="0" w:color="auto"/>
            </w:tcBorders>
            <w:shd w:val="clear" w:color="auto" w:fill="auto"/>
            <w:noWrap/>
            <w:vAlign w:val="bottom"/>
            <w:hideMark/>
          </w:tcPr>
          <w:p w14:paraId="122C68C2" w14:textId="77777777" w:rsidR="001B0B75" w:rsidRPr="001B0B75" w:rsidRDefault="001B0B75" w:rsidP="001B0B75">
            <w:pPr>
              <w:spacing w:after="0" w:line="240" w:lineRule="auto"/>
              <w:jc w:val="center"/>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2020</w:t>
            </w:r>
          </w:p>
        </w:tc>
        <w:tc>
          <w:tcPr>
            <w:tcW w:w="1180" w:type="dxa"/>
            <w:tcBorders>
              <w:top w:val="nil"/>
              <w:left w:val="nil"/>
              <w:bottom w:val="single" w:sz="4" w:space="0" w:color="auto"/>
              <w:right w:val="single" w:sz="4" w:space="0" w:color="auto"/>
            </w:tcBorders>
            <w:shd w:val="clear" w:color="auto" w:fill="auto"/>
            <w:noWrap/>
            <w:vAlign w:val="bottom"/>
            <w:hideMark/>
          </w:tcPr>
          <w:p w14:paraId="4CBB84BC" w14:textId="77777777" w:rsidR="001B0B75" w:rsidRPr="001B0B75" w:rsidRDefault="001B0B75" w:rsidP="001B0B75">
            <w:pPr>
              <w:spacing w:after="0" w:line="240" w:lineRule="auto"/>
              <w:jc w:val="center"/>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2025</w:t>
            </w:r>
          </w:p>
        </w:tc>
      </w:tr>
      <w:tr w:rsidR="001B0B75" w:rsidRPr="001B0B75" w14:paraId="1A45D214"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3E1B44E7"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Petrol Cars (%) </w:t>
            </w:r>
          </w:p>
        </w:tc>
        <w:tc>
          <w:tcPr>
            <w:tcW w:w="1180" w:type="dxa"/>
            <w:tcBorders>
              <w:top w:val="nil"/>
              <w:left w:val="nil"/>
              <w:bottom w:val="single" w:sz="4" w:space="0" w:color="auto"/>
              <w:right w:val="single" w:sz="4" w:space="0" w:color="auto"/>
            </w:tcBorders>
            <w:shd w:val="clear" w:color="auto" w:fill="auto"/>
            <w:noWrap/>
            <w:vAlign w:val="bottom"/>
            <w:hideMark/>
          </w:tcPr>
          <w:p w14:paraId="372F186D"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3.3%</w:t>
            </w:r>
          </w:p>
        </w:tc>
        <w:tc>
          <w:tcPr>
            <w:tcW w:w="1180" w:type="dxa"/>
            <w:tcBorders>
              <w:top w:val="nil"/>
              <w:left w:val="nil"/>
              <w:bottom w:val="single" w:sz="4" w:space="0" w:color="auto"/>
              <w:right w:val="single" w:sz="4" w:space="0" w:color="auto"/>
            </w:tcBorders>
            <w:shd w:val="clear" w:color="auto" w:fill="auto"/>
            <w:noWrap/>
            <w:vAlign w:val="bottom"/>
            <w:hideMark/>
          </w:tcPr>
          <w:p w14:paraId="24C8E484"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3.3%</w:t>
            </w:r>
          </w:p>
        </w:tc>
        <w:tc>
          <w:tcPr>
            <w:tcW w:w="1180" w:type="dxa"/>
            <w:tcBorders>
              <w:top w:val="nil"/>
              <w:left w:val="nil"/>
              <w:bottom w:val="single" w:sz="4" w:space="0" w:color="auto"/>
              <w:right w:val="single" w:sz="4" w:space="0" w:color="auto"/>
            </w:tcBorders>
            <w:shd w:val="clear" w:color="auto" w:fill="auto"/>
            <w:noWrap/>
            <w:vAlign w:val="bottom"/>
            <w:hideMark/>
          </w:tcPr>
          <w:p w14:paraId="49F36A67"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4.4%</w:t>
            </w:r>
          </w:p>
        </w:tc>
      </w:tr>
      <w:tr w:rsidR="001B0B75" w:rsidRPr="001B0B75" w14:paraId="16736198"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039908E2"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Diesel Cars (%) </w:t>
            </w:r>
          </w:p>
        </w:tc>
        <w:tc>
          <w:tcPr>
            <w:tcW w:w="1180" w:type="dxa"/>
            <w:tcBorders>
              <w:top w:val="nil"/>
              <w:left w:val="nil"/>
              <w:bottom w:val="single" w:sz="4" w:space="0" w:color="auto"/>
              <w:right w:val="single" w:sz="4" w:space="0" w:color="auto"/>
            </w:tcBorders>
            <w:shd w:val="clear" w:color="auto" w:fill="auto"/>
            <w:noWrap/>
            <w:vAlign w:val="bottom"/>
            <w:hideMark/>
          </w:tcPr>
          <w:p w14:paraId="20F681BF"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30.6%</w:t>
            </w:r>
          </w:p>
        </w:tc>
        <w:tc>
          <w:tcPr>
            <w:tcW w:w="1180" w:type="dxa"/>
            <w:tcBorders>
              <w:top w:val="nil"/>
              <w:left w:val="nil"/>
              <w:bottom w:val="single" w:sz="4" w:space="0" w:color="auto"/>
              <w:right w:val="single" w:sz="4" w:space="0" w:color="auto"/>
            </w:tcBorders>
            <w:shd w:val="clear" w:color="auto" w:fill="auto"/>
            <w:noWrap/>
            <w:vAlign w:val="bottom"/>
            <w:hideMark/>
          </w:tcPr>
          <w:p w14:paraId="2BDC4658"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31.8%</w:t>
            </w:r>
          </w:p>
        </w:tc>
        <w:tc>
          <w:tcPr>
            <w:tcW w:w="1180" w:type="dxa"/>
            <w:tcBorders>
              <w:top w:val="nil"/>
              <w:left w:val="nil"/>
              <w:bottom w:val="single" w:sz="4" w:space="0" w:color="auto"/>
              <w:right w:val="single" w:sz="4" w:space="0" w:color="auto"/>
            </w:tcBorders>
            <w:shd w:val="clear" w:color="auto" w:fill="auto"/>
            <w:noWrap/>
            <w:vAlign w:val="bottom"/>
            <w:hideMark/>
          </w:tcPr>
          <w:p w14:paraId="3C835C29"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31.6%</w:t>
            </w:r>
          </w:p>
        </w:tc>
      </w:tr>
      <w:tr w:rsidR="001B0B75" w:rsidRPr="001B0B75" w14:paraId="2FA9B235"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6373CFBF"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Taxis (%) </w:t>
            </w:r>
          </w:p>
        </w:tc>
        <w:tc>
          <w:tcPr>
            <w:tcW w:w="1180" w:type="dxa"/>
            <w:tcBorders>
              <w:top w:val="nil"/>
              <w:left w:val="nil"/>
              <w:bottom w:val="single" w:sz="4" w:space="0" w:color="auto"/>
              <w:right w:val="single" w:sz="4" w:space="0" w:color="auto"/>
            </w:tcBorders>
            <w:shd w:val="clear" w:color="auto" w:fill="auto"/>
            <w:noWrap/>
            <w:vAlign w:val="bottom"/>
            <w:hideMark/>
          </w:tcPr>
          <w:p w14:paraId="6CF5AFD2"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 xml:space="preserve">- </w:t>
            </w:r>
          </w:p>
        </w:tc>
        <w:tc>
          <w:tcPr>
            <w:tcW w:w="1180" w:type="dxa"/>
            <w:tcBorders>
              <w:top w:val="nil"/>
              <w:left w:val="nil"/>
              <w:bottom w:val="single" w:sz="4" w:space="0" w:color="auto"/>
              <w:right w:val="single" w:sz="4" w:space="0" w:color="auto"/>
            </w:tcBorders>
            <w:shd w:val="clear" w:color="auto" w:fill="auto"/>
            <w:noWrap/>
            <w:vAlign w:val="bottom"/>
            <w:hideMark/>
          </w:tcPr>
          <w:p w14:paraId="2866F889"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 xml:space="preserve">- </w:t>
            </w:r>
          </w:p>
        </w:tc>
        <w:tc>
          <w:tcPr>
            <w:tcW w:w="1180" w:type="dxa"/>
            <w:tcBorders>
              <w:top w:val="nil"/>
              <w:left w:val="nil"/>
              <w:bottom w:val="single" w:sz="4" w:space="0" w:color="auto"/>
              <w:right w:val="single" w:sz="4" w:space="0" w:color="auto"/>
            </w:tcBorders>
            <w:shd w:val="clear" w:color="auto" w:fill="auto"/>
            <w:noWrap/>
            <w:vAlign w:val="bottom"/>
            <w:hideMark/>
          </w:tcPr>
          <w:p w14:paraId="11597351"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w:t>
            </w:r>
          </w:p>
        </w:tc>
      </w:tr>
      <w:tr w:rsidR="001B0B75" w:rsidRPr="001B0B75" w14:paraId="2B9B9B82"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1C26758C"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Petrol LGVs (%) </w:t>
            </w:r>
          </w:p>
        </w:tc>
        <w:tc>
          <w:tcPr>
            <w:tcW w:w="1180" w:type="dxa"/>
            <w:tcBorders>
              <w:top w:val="nil"/>
              <w:left w:val="nil"/>
              <w:bottom w:val="single" w:sz="4" w:space="0" w:color="auto"/>
              <w:right w:val="single" w:sz="4" w:space="0" w:color="auto"/>
            </w:tcBorders>
            <w:shd w:val="clear" w:color="auto" w:fill="auto"/>
            <w:noWrap/>
            <w:vAlign w:val="bottom"/>
            <w:hideMark/>
          </w:tcPr>
          <w:p w14:paraId="0A782A9E"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0.0%</w:t>
            </w:r>
          </w:p>
        </w:tc>
        <w:tc>
          <w:tcPr>
            <w:tcW w:w="1180" w:type="dxa"/>
            <w:tcBorders>
              <w:top w:val="nil"/>
              <w:left w:val="nil"/>
              <w:bottom w:val="single" w:sz="4" w:space="0" w:color="auto"/>
              <w:right w:val="single" w:sz="4" w:space="0" w:color="auto"/>
            </w:tcBorders>
            <w:shd w:val="clear" w:color="auto" w:fill="auto"/>
            <w:noWrap/>
            <w:vAlign w:val="bottom"/>
            <w:hideMark/>
          </w:tcPr>
          <w:p w14:paraId="3F07B010"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0.0%</w:t>
            </w:r>
          </w:p>
        </w:tc>
        <w:tc>
          <w:tcPr>
            <w:tcW w:w="1180" w:type="dxa"/>
            <w:tcBorders>
              <w:top w:val="nil"/>
              <w:left w:val="nil"/>
              <w:bottom w:val="single" w:sz="4" w:space="0" w:color="auto"/>
              <w:right w:val="single" w:sz="4" w:space="0" w:color="auto"/>
            </w:tcBorders>
            <w:shd w:val="clear" w:color="auto" w:fill="auto"/>
            <w:noWrap/>
            <w:vAlign w:val="bottom"/>
            <w:hideMark/>
          </w:tcPr>
          <w:p w14:paraId="24FA264A"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0.0%</w:t>
            </w:r>
          </w:p>
        </w:tc>
      </w:tr>
      <w:tr w:rsidR="001B0B75" w:rsidRPr="001B0B75" w14:paraId="4B9AA340"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0BA98DAA"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lastRenderedPageBreak/>
              <w:t xml:space="preserve">Diesel LGVs (%) </w:t>
            </w:r>
          </w:p>
        </w:tc>
        <w:tc>
          <w:tcPr>
            <w:tcW w:w="1180" w:type="dxa"/>
            <w:tcBorders>
              <w:top w:val="nil"/>
              <w:left w:val="nil"/>
              <w:bottom w:val="single" w:sz="4" w:space="0" w:color="auto"/>
              <w:right w:val="single" w:sz="4" w:space="0" w:color="auto"/>
            </w:tcBorders>
            <w:shd w:val="clear" w:color="auto" w:fill="auto"/>
            <w:noWrap/>
            <w:vAlign w:val="bottom"/>
            <w:hideMark/>
          </w:tcPr>
          <w:p w14:paraId="02AC7885"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20.8%</w:t>
            </w:r>
          </w:p>
        </w:tc>
        <w:tc>
          <w:tcPr>
            <w:tcW w:w="1180" w:type="dxa"/>
            <w:tcBorders>
              <w:top w:val="nil"/>
              <w:left w:val="nil"/>
              <w:bottom w:val="single" w:sz="4" w:space="0" w:color="auto"/>
              <w:right w:val="single" w:sz="4" w:space="0" w:color="auto"/>
            </w:tcBorders>
            <w:shd w:val="clear" w:color="auto" w:fill="auto"/>
            <w:noWrap/>
            <w:vAlign w:val="bottom"/>
            <w:hideMark/>
          </w:tcPr>
          <w:p w14:paraId="2D983DEA"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20.7%</w:t>
            </w:r>
          </w:p>
        </w:tc>
        <w:tc>
          <w:tcPr>
            <w:tcW w:w="1180" w:type="dxa"/>
            <w:tcBorders>
              <w:top w:val="nil"/>
              <w:left w:val="nil"/>
              <w:bottom w:val="single" w:sz="4" w:space="0" w:color="auto"/>
              <w:right w:val="single" w:sz="4" w:space="0" w:color="auto"/>
            </w:tcBorders>
            <w:shd w:val="clear" w:color="auto" w:fill="auto"/>
            <w:noWrap/>
            <w:vAlign w:val="bottom"/>
            <w:hideMark/>
          </w:tcPr>
          <w:p w14:paraId="448C0B4F"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18.6%</w:t>
            </w:r>
          </w:p>
        </w:tc>
      </w:tr>
      <w:tr w:rsidR="001B0B75" w:rsidRPr="001B0B75" w14:paraId="6CC2F31B"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0675A805"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Rigid HGVs (%) </w:t>
            </w:r>
          </w:p>
        </w:tc>
        <w:tc>
          <w:tcPr>
            <w:tcW w:w="1180" w:type="dxa"/>
            <w:tcBorders>
              <w:top w:val="nil"/>
              <w:left w:val="nil"/>
              <w:bottom w:val="single" w:sz="4" w:space="0" w:color="auto"/>
              <w:right w:val="single" w:sz="4" w:space="0" w:color="auto"/>
            </w:tcBorders>
            <w:shd w:val="clear" w:color="auto" w:fill="auto"/>
            <w:noWrap/>
            <w:vAlign w:val="bottom"/>
            <w:hideMark/>
          </w:tcPr>
          <w:p w14:paraId="6ABB6C28"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7.0%</w:t>
            </w:r>
          </w:p>
        </w:tc>
        <w:tc>
          <w:tcPr>
            <w:tcW w:w="1180" w:type="dxa"/>
            <w:tcBorders>
              <w:top w:val="nil"/>
              <w:left w:val="nil"/>
              <w:bottom w:val="single" w:sz="4" w:space="0" w:color="auto"/>
              <w:right w:val="single" w:sz="4" w:space="0" w:color="auto"/>
            </w:tcBorders>
            <w:shd w:val="clear" w:color="auto" w:fill="auto"/>
            <w:noWrap/>
            <w:vAlign w:val="bottom"/>
            <w:hideMark/>
          </w:tcPr>
          <w:p w14:paraId="3331180B"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5.4%</w:t>
            </w:r>
          </w:p>
        </w:tc>
        <w:tc>
          <w:tcPr>
            <w:tcW w:w="1180" w:type="dxa"/>
            <w:tcBorders>
              <w:top w:val="nil"/>
              <w:left w:val="nil"/>
              <w:bottom w:val="single" w:sz="4" w:space="0" w:color="auto"/>
              <w:right w:val="single" w:sz="4" w:space="0" w:color="auto"/>
            </w:tcBorders>
            <w:shd w:val="clear" w:color="auto" w:fill="auto"/>
            <w:noWrap/>
            <w:vAlign w:val="bottom"/>
            <w:hideMark/>
          </w:tcPr>
          <w:p w14:paraId="7D742BD8"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3.3%</w:t>
            </w:r>
          </w:p>
        </w:tc>
      </w:tr>
      <w:tr w:rsidR="001B0B75" w:rsidRPr="001B0B75" w14:paraId="074E4273"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0DF5338B"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Artic HGVs (%) </w:t>
            </w:r>
          </w:p>
        </w:tc>
        <w:tc>
          <w:tcPr>
            <w:tcW w:w="1180" w:type="dxa"/>
            <w:tcBorders>
              <w:top w:val="nil"/>
              <w:left w:val="nil"/>
              <w:bottom w:val="single" w:sz="4" w:space="0" w:color="auto"/>
              <w:right w:val="single" w:sz="4" w:space="0" w:color="auto"/>
            </w:tcBorders>
            <w:shd w:val="clear" w:color="auto" w:fill="auto"/>
            <w:noWrap/>
            <w:vAlign w:val="bottom"/>
            <w:hideMark/>
          </w:tcPr>
          <w:p w14:paraId="12C72228"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5.5%</w:t>
            </w:r>
          </w:p>
        </w:tc>
        <w:tc>
          <w:tcPr>
            <w:tcW w:w="1180" w:type="dxa"/>
            <w:tcBorders>
              <w:top w:val="nil"/>
              <w:left w:val="nil"/>
              <w:bottom w:val="single" w:sz="4" w:space="0" w:color="auto"/>
              <w:right w:val="single" w:sz="4" w:space="0" w:color="auto"/>
            </w:tcBorders>
            <w:shd w:val="clear" w:color="auto" w:fill="auto"/>
            <w:noWrap/>
            <w:vAlign w:val="bottom"/>
            <w:hideMark/>
          </w:tcPr>
          <w:p w14:paraId="7C761705"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3.8%</w:t>
            </w:r>
          </w:p>
        </w:tc>
        <w:tc>
          <w:tcPr>
            <w:tcW w:w="1180" w:type="dxa"/>
            <w:tcBorders>
              <w:top w:val="nil"/>
              <w:left w:val="nil"/>
              <w:bottom w:val="single" w:sz="4" w:space="0" w:color="auto"/>
              <w:right w:val="single" w:sz="4" w:space="0" w:color="auto"/>
            </w:tcBorders>
            <w:shd w:val="clear" w:color="auto" w:fill="auto"/>
            <w:noWrap/>
            <w:vAlign w:val="bottom"/>
            <w:hideMark/>
          </w:tcPr>
          <w:p w14:paraId="595E0763"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2.8%</w:t>
            </w:r>
          </w:p>
        </w:tc>
      </w:tr>
      <w:tr w:rsidR="001B0B75" w:rsidRPr="001B0B75" w14:paraId="32BA562C"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6057F551"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Buses/Coaches (%) </w:t>
            </w:r>
          </w:p>
        </w:tc>
        <w:tc>
          <w:tcPr>
            <w:tcW w:w="1180" w:type="dxa"/>
            <w:tcBorders>
              <w:top w:val="nil"/>
              <w:left w:val="nil"/>
              <w:bottom w:val="single" w:sz="4" w:space="0" w:color="auto"/>
              <w:right w:val="single" w:sz="4" w:space="0" w:color="auto"/>
            </w:tcBorders>
            <w:shd w:val="clear" w:color="auto" w:fill="auto"/>
            <w:noWrap/>
            <w:vAlign w:val="bottom"/>
            <w:hideMark/>
          </w:tcPr>
          <w:p w14:paraId="296AFF77"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32.1%</w:t>
            </w:r>
          </w:p>
        </w:tc>
        <w:tc>
          <w:tcPr>
            <w:tcW w:w="1180" w:type="dxa"/>
            <w:tcBorders>
              <w:top w:val="nil"/>
              <w:left w:val="nil"/>
              <w:bottom w:val="single" w:sz="4" w:space="0" w:color="auto"/>
              <w:right w:val="single" w:sz="4" w:space="0" w:color="auto"/>
            </w:tcBorders>
            <w:shd w:val="clear" w:color="auto" w:fill="auto"/>
            <w:noWrap/>
            <w:vAlign w:val="bottom"/>
            <w:hideMark/>
          </w:tcPr>
          <w:p w14:paraId="08D7464F"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34.1%</w:t>
            </w:r>
          </w:p>
        </w:tc>
        <w:tc>
          <w:tcPr>
            <w:tcW w:w="1180" w:type="dxa"/>
            <w:tcBorders>
              <w:top w:val="nil"/>
              <w:left w:val="nil"/>
              <w:bottom w:val="single" w:sz="4" w:space="0" w:color="auto"/>
              <w:right w:val="single" w:sz="4" w:space="0" w:color="auto"/>
            </w:tcBorders>
            <w:shd w:val="clear" w:color="auto" w:fill="auto"/>
            <w:noWrap/>
            <w:vAlign w:val="bottom"/>
            <w:hideMark/>
          </w:tcPr>
          <w:p w14:paraId="45B10284"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37.8%</w:t>
            </w:r>
          </w:p>
        </w:tc>
      </w:tr>
      <w:tr w:rsidR="001B0B75" w:rsidRPr="001B0B75" w14:paraId="685069F4"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3188B61E"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Motorcycles (%) </w:t>
            </w:r>
          </w:p>
        </w:tc>
        <w:tc>
          <w:tcPr>
            <w:tcW w:w="1180" w:type="dxa"/>
            <w:tcBorders>
              <w:top w:val="nil"/>
              <w:left w:val="nil"/>
              <w:bottom w:val="single" w:sz="4" w:space="0" w:color="auto"/>
              <w:right w:val="single" w:sz="4" w:space="0" w:color="auto"/>
            </w:tcBorders>
            <w:shd w:val="clear" w:color="auto" w:fill="auto"/>
            <w:noWrap/>
            <w:vAlign w:val="bottom"/>
            <w:hideMark/>
          </w:tcPr>
          <w:p w14:paraId="64BF7875"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0.2%</w:t>
            </w:r>
          </w:p>
        </w:tc>
        <w:tc>
          <w:tcPr>
            <w:tcW w:w="1180" w:type="dxa"/>
            <w:tcBorders>
              <w:top w:val="nil"/>
              <w:left w:val="nil"/>
              <w:bottom w:val="single" w:sz="4" w:space="0" w:color="auto"/>
              <w:right w:val="single" w:sz="4" w:space="0" w:color="auto"/>
            </w:tcBorders>
            <w:shd w:val="clear" w:color="auto" w:fill="auto"/>
            <w:noWrap/>
            <w:vAlign w:val="bottom"/>
            <w:hideMark/>
          </w:tcPr>
          <w:p w14:paraId="207D1F5C"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0.2%</w:t>
            </w:r>
          </w:p>
        </w:tc>
        <w:tc>
          <w:tcPr>
            <w:tcW w:w="1180" w:type="dxa"/>
            <w:tcBorders>
              <w:top w:val="nil"/>
              <w:left w:val="nil"/>
              <w:bottom w:val="single" w:sz="4" w:space="0" w:color="auto"/>
              <w:right w:val="single" w:sz="4" w:space="0" w:color="auto"/>
            </w:tcBorders>
            <w:shd w:val="clear" w:color="auto" w:fill="auto"/>
            <w:noWrap/>
            <w:vAlign w:val="bottom"/>
            <w:hideMark/>
          </w:tcPr>
          <w:p w14:paraId="7B28D3C0"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0.2%</w:t>
            </w:r>
          </w:p>
        </w:tc>
      </w:tr>
      <w:tr w:rsidR="001B0B75" w:rsidRPr="001B0B75" w14:paraId="14E219A9"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6FFDA38F"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Full Hybrid Petrol Cars (%) </w:t>
            </w:r>
          </w:p>
        </w:tc>
        <w:tc>
          <w:tcPr>
            <w:tcW w:w="1180" w:type="dxa"/>
            <w:tcBorders>
              <w:top w:val="nil"/>
              <w:left w:val="nil"/>
              <w:bottom w:val="single" w:sz="4" w:space="0" w:color="auto"/>
              <w:right w:val="single" w:sz="4" w:space="0" w:color="auto"/>
            </w:tcBorders>
            <w:shd w:val="clear" w:color="auto" w:fill="auto"/>
            <w:noWrap/>
            <w:vAlign w:val="bottom"/>
            <w:hideMark/>
          </w:tcPr>
          <w:p w14:paraId="707890B2"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0.1%</w:t>
            </w:r>
          </w:p>
        </w:tc>
        <w:tc>
          <w:tcPr>
            <w:tcW w:w="1180" w:type="dxa"/>
            <w:tcBorders>
              <w:top w:val="nil"/>
              <w:left w:val="nil"/>
              <w:bottom w:val="single" w:sz="4" w:space="0" w:color="auto"/>
              <w:right w:val="single" w:sz="4" w:space="0" w:color="auto"/>
            </w:tcBorders>
            <w:shd w:val="clear" w:color="auto" w:fill="auto"/>
            <w:noWrap/>
            <w:vAlign w:val="bottom"/>
            <w:hideMark/>
          </w:tcPr>
          <w:p w14:paraId="5C53DE4B"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0.1%</w:t>
            </w:r>
          </w:p>
        </w:tc>
        <w:tc>
          <w:tcPr>
            <w:tcW w:w="1180" w:type="dxa"/>
            <w:tcBorders>
              <w:top w:val="nil"/>
              <w:left w:val="nil"/>
              <w:bottom w:val="single" w:sz="4" w:space="0" w:color="auto"/>
              <w:right w:val="single" w:sz="4" w:space="0" w:color="auto"/>
            </w:tcBorders>
            <w:shd w:val="clear" w:color="auto" w:fill="auto"/>
            <w:noWrap/>
            <w:vAlign w:val="bottom"/>
            <w:hideMark/>
          </w:tcPr>
          <w:p w14:paraId="1883D72A"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0.2%</w:t>
            </w:r>
          </w:p>
        </w:tc>
      </w:tr>
      <w:tr w:rsidR="001B0B75" w:rsidRPr="001B0B75" w14:paraId="2EF59525"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40FF3319"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Plug-In Hybrid Petrol Cars (%) </w:t>
            </w:r>
          </w:p>
        </w:tc>
        <w:tc>
          <w:tcPr>
            <w:tcW w:w="1180" w:type="dxa"/>
            <w:tcBorders>
              <w:top w:val="nil"/>
              <w:left w:val="nil"/>
              <w:bottom w:val="single" w:sz="4" w:space="0" w:color="auto"/>
              <w:right w:val="single" w:sz="4" w:space="0" w:color="auto"/>
            </w:tcBorders>
            <w:shd w:val="clear" w:color="auto" w:fill="auto"/>
            <w:noWrap/>
            <w:vAlign w:val="bottom"/>
            <w:hideMark/>
          </w:tcPr>
          <w:p w14:paraId="19582398"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0.0%</w:t>
            </w:r>
          </w:p>
        </w:tc>
        <w:tc>
          <w:tcPr>
            <w:tcW w:w="1180" w:type="dxa"/>
            <w:tcBorders>
              <w:top w:val="nil"/>
              <w:left w:val="nil"/>
              <w:bottom w:val="single" w:sz="4" w:space="0" w:color="auto"/>
              <w:right w:val="single" w:sz="4" w:space="0" w:color="auto"/>
            </w:tcBorders>
            <w:shd w:val="clear" w:color="auto" w:fill="auto"/>
            <w:noWrap/>
            <w:vAlign w:val="bottom"/>
            <w:hideMark/>
          </w:tcPr>
          <w:p w14:paraId="655A4C11"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0.0%</w:t>
            </w:r>
          </w:p>
        </w:tc>
        <w:tc>
          <w:tcPr>
            <w:tcW w:w="1180" w:type="dxa"/>
            <w:tcBorders>
              <w:top w:val="nil"/>
              <w:left w:val="nil"/>
              <w:bottom w:val="single" w:sz="4" w:space="0" w:color="auto"/>
              <w:right w:val="single" w:sz="4" w:space="0" w:color="auto"/>
            </w:tcBorders>
            <w:shd w:val="clear" w:color="auto" w:fill="auto"/>
            <w:noWrap/>
            <w:vAlign w:val="bottom"/>
            <w:hideMark/>
          </w:tcPr>
          <w:p w14:paraId="54251DD0"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0.0%</w:t>
            </w:r>
          </w:p>
        </w:tc>
      </w:tr>
      <w:tr w:rsidR="001B0B75" w:rsidRPr="001B0B75" w14:paraId="1039F405"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1E678B74"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Full Hybrid Diesel Cars (%) </w:t>
            </w:r>
          </w:p>
        </w:tc>
        <w:tc>
          <w:tcPr>
            <w:tcW w:w="1180" w:type="dxa"/>
            <w:tcBorders>
              <w:top w:val="nil"/>
              <w:left w:val="nil"/>
              <w:bottom w:val="single" w:sz="4" w:space="0" w:color="auto"/>
              <w:right w:val="single" w:sz="4" w:space="0" w:color="auto"/>
            </w:tcBorders>
            <w:shd w:val="clear" w:color="auto" w:fill="auto"/>
            <w:noWrap/>
            <w:vAlign w:val="bottom"/>
            <w:hideMark/>
          </w:tcPr>
          <w:p w14:paraId="055DA0E9"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0.1%</w:t>
            </w:r>
          </w:p>
        </w:tc>
        <w:tc>
          <w:tcPr>
            <w:tcW w:w="1180" w:type="dxa"/>
            <w:tcBorders>
              <w:top w:val="nil"/>
              <w:left w:val="nil"/>
              <w:bottom w:val="single" w:sz="4" w:space="0" w:color="auto"/>
              <w:right w:val="single" w:sz="4" w:space="0" w:color="auto"/>
            </w:tcBorders>
            <w:shd w:val="clear" w:color="auto" w:fill="auto"/>
            <w:noWrap/>
            <w:vAlign w:val="bottom"/>
            <w:hideMark/>
          </w:tcPr>
          <w:p w14:paraId="73F2ADDC"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0.3%</w:t>
            </w:r>
          </w:p>
        </w:tc>
        <w:tc>
          <w:tcPr>
            <w:tcW w:w="1180" w:type="dxa"/>
            <w:tcBorders>
              <w:top w:val="nil"/>
              <w:left w:val="nil"/>
              <w:bottom w:val="single" w:sz="4" w:space="0" w:color="auto"/>
              <w:right w:val="single" w:sz="4" w:space="0" w:color="auto"/>
            </w:tcBorders>
            <w:shd w:val="clear" w:color="auto" w:fill="auto"/>
            <w:noWrap/>
            <w:vAlign w:val="bottom"/>
            <w:hideMark/>
          </w:tcPr>
          <w:p w14:paraId="4004B8FF"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0.9%</w:t>
            </w:r>
          </w:p>
        </w:tc>
      </w:tr>
      <w:tr w:rsidR="001B0B75" w:rsidRPr="001B0B75" w14:paraId="7427C548" w14:textId="77777777" w:rsidTr="001B0B75">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14:paraId="1A530E14" w14:textId="77777777" w:rsidR="001B0B75" w:rsidRPr="001B0B75" w:rsidRDefault="001B0B75" w:rsidP="001B0B75">
            <w:pPr>
              <w:spacing w:after="0" w:line="240" w:lineRule="auto"/>
              <w:jc w:val="right"/>
              <w:rPr>
                <w:rFonts w:ascii="Calibri" w:eastAsia="Times New Roman" w:hAnsi="Calibri" w:cs="Times New Roman"/>
                <w:b/>
                <w:bCs/>
                <w:color w:val="000000"/>
                <w:lang w:eastAsia="en-GB"/>
              </w:rPr>
            </w:pPr>
            <w:r w:rsidRPr="001B0B75">
              <w:rPr>
                <w:rFonts w:ascii="Calibri" w:eastAsia="Times New Roman" w:hAnsi="Calibri" w:cs="Times New Roman"/>
                <w:b/>
                <w:bCs/>
                <w:color w:val="000000"/>
                <w:lang w:eastAsia="en-GB"/>
              </w:rPr>
              <w:t xml:space="preserve">Battery EV Cars (%) </w:t>
            </w:r>
          </w:p>
        </w:tc>
        <w:tc>
          <w:tcPr>
            <w:tcW w:w="1180" w:type="dxa"/>
            <w:tcBorders>
              <w:top w:val="nil"/>
              <w:left w:val="nil"/>
              <w:bottom w:val="single" w:sz="4" w:space="0" w:color="auto"/>
              <w:right w:val="single" w:sz="4" w:space="0" w:color="auto"/>
            </w:tcBorders>
            <w:shd w:val="clear" w:color="auto" w:fill="auto"/>
            <w:noWrap/>
            <w:vAlign w:val="bottom"/>
            <w:hideMark/>
          </w:tcPr>
          <w:p w14:paraId="7F4FD9D2"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 xml:space="preserve">- </w:t>
            </w:r>
          </w:p>
        </w:tc>
        <w:tc>
          <w:tcPr>
            <w:tcW w:w="1180" w:type="dxa"/>
            <w:tcBorders>
              <w:top w:val="nil"/>
              <w:left w:val="nil"/>
              <w:bottom w:val="single" w:sz="4" w:space="0" w:color="auto"/>
              <w:right w:val="single" w:sz="4" w:space="0" w:color="auto"/>
            </w:tcBorders>
            <w:shd w:val="clear" w:color="auto" w:fill="auto"/>
            <w:noWrap/>
            <w:vAlign w:val="bottom"/>
            <w:hideMark/>
          </w:tcPr>
          <w:p w14:paraId="35645536"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 xml:space="preserve">- </w:t>
            </w:r>
          </w:p>
        </w:tc>
        <w:tc>
          <w:tcPr>
            <w:tcW w:w="1180" w:type="dxa"/>
            <w:tcBorders>
              <w:top w:val="nil"/>
              <w:left w:val="nil"/>
              <w:bottom w:val="single" w:sz="4" w:space="0" w:color="auto"/>
              <w:right w:val="single" w:sz="4" w:space="0" w:color="auto"/>
            </w:tcBorders>
            <w:shd w:val="clear" w:color="auto" w:fill="auto"/>
            <w:noWrap/>
            <w:vAlign w:val="bottom"/>
            <w:hideMark/>
          </w:tcPr>
          <w:p w14:paraId="6525BF46" w14:textId="77777777" w:rsidR="001B0B75" w:rsidRPr="001B0B75" w:rsidRDefault="001B0B75" w:rsidP="001B0B75">
            <w:pPr>
              <w:spacing w:after="0" w:line="240" w:lineRule="auto"/>
              <w:jc w:val="center"/>
              <w:rPr>
                <w:rFonts w:ascii="Calibri" w:eastAsia="Times New Roman" w:hAnsi="Calibri" w:cs="Times New Roman"/>
                <w:color w:val="000000"/>
                <w:lang w:eastAsia="en-GB"/>
              </w:rPr>
            </w:pPr>
            <w:r w:rsidRPr="001B0B75">
              <w:rPr>
                <w:rFonts w:ascii="Calibri" w:eastAsia="Times New Roman" w:hAnsi="Calibri" w:cs="Times New Roman"/>
                <w:color w:val="000000"/>
                <w:lang w:eastAsia="en-GB"/>
              </w:rPr>
              <w:t>-</w:t>
            </w:r>
          </w:p>
        </w:tc>
      </w:tr>
    </w:tbl>
    <w:p w14:paraId="34C847BA" w14:textId="77777777" w:rsidR="00F75DA9" w:rsidRDefault="00F75DA9" w:rsidP="001B0B75">
      <w:pPr>
        <w:spacing w:after="0"/>
      </w:pPr>
    </w:p>
    <w:p w14:paraId="02748C0E" w14:textId="77777777" w:rsidR="00AD6B38" w:rsidRDefault="00AD6B38">
      <w:r>
        <w:rPr>
          <w:b/>
        </w:rPr>
        <w:t>Source-apportionment conclusions</w:t>
      </w:r>
    </w:p>
    <w:p w14:paraId="4C2DB4A0" w14:textId="77777777" w:rsidR="001A0E2C" w:rsidRDefault="001A0E2C">
      <w:pPr>
        <w:rPr>
          <w:b/>
        </w:rPr>
      </w:pPr>
      <w:r>
        <w:rPr>
          <w:b/>
        </w:rPr>
        <w:t>St Pancras, Chichester AQMA</w:t>
      </w:r>
    </w:p>
    <w:p w14:paraId="1077392B" w14:textId="77777777" w:rsidR="001A0E2C" w:rsidRDefault="00636C17">
      <w:r w:rsidRPr="00636C17">
        <w:t>NOx emissions from the diesel car and diesel LGV sector dominate the St Pancras</w:t>
      </w:r>
      <w:r w:rsidRPr="00636C17">
        <w:br/>
        <w:t>AQMA location with the ratio of NOx emissions at approx. 77% in 2018 but</w:t>
      </w:r>
      <w:r w:rsidRPr="00636C17">
        <w:br/>
        <w:t>reducing to 73% toward 2025. Bus and coach emissions are lower but significant</w:t>
      </w:r>
      <w:r w:rsidRPr="00636C17">
        <w:br/>
        <w:t>over the period, increasing slightly from 11.6% to 14%. The ratio of HGV emissions</w:t>
      </w:r>
      <w:r w:rsidRPr="00636C17">
        <w:br/>
        <w:t>is relatively small with a decline over this period from approx. 3.5% to 1.5%.</w:t>
      </w:r>
    </w:p>
    <w:p w14:paraId="48D8E556" w14:textId="77777777" w:rsidR="001A0E2C" w:rsidRDefault="001A0E2C">
      <w:pPr>
        <w:rPr>
          <w:b/>
        </w:rPr>
      </w:pPr>
      <w:r>
        <w:rPr>
          <w:b/>
        </w:rPr>
        <w:t>Stockbridge A27 roundabout, Chichester AQMA</w:t>
      </w:r>
    </w:p>
    <w:p w14:paraId="43E2EF5B" w14:textId="77777777" w:rsidR="001A0E2C" w:rsidRDefault="00636C17">
      <w:r w:rsidRPr="00636C17">
        <w:t>NOx emissions from the diesel car and diesel LGV sector dominate the Stockbridge</w:t>
      </w:r>
      <w:r w:rsidRPr="00636C17">
        <w:br/>
        <w:t>AQMA /A27 location with the ratio of NOx emissions between approx. 72% to</w:t>
      </w:r>
      <w:r w:rsidRPr="00636C17">
        <w:br/>
        <w:t>77.5% over the period between 2018 and 2025. HGV emissions are significant at</w:t>
      </w:r>
      <w:r w:rsidRPr="00636C17">
        <w:br/>
        <w:t>20.5% in 2018, however reduce to approx. 10.5% by 2025. Bus and coach emissions</w:t>
      </w:r>
      <w:r w:rsidRPr="00636C17">
        <w:br/>
        <w:t>are small in comparison at 1.6% in 2018 and increasing to 2.2% by 2025.There is</w:t>
      </w:r>
      <w:r w:rsidRPr="00636C17">
        <w:br/>
        <w:t>an increase in Hybrid Diesel vehicle emissions as a contribution over the period</w:t>
      </w:r>
      <w:r w:rsidRPr="00636C17">
        <w:br/>
        <w:t>2018 – 2025 with emissions rising from 0.2% to 1.2% by 2025.</w:t>
      </w:r>
    </w:p>
    <w:p w14:paraId="74054B19" w14:textId="77777777" w:rsidR="001A0E2C" w:rsidRDefault="001A0E2C">
      <w:r>
        <w:rPr>
          <w:b/>
        </w:rPr>
        <w:t>Rumbolds Hill, Midhurst AQMA</w:t>
      </w:r>
    </w:p>
    <w:p w14:paraId="0A1F0482" w14:textId="77777777" w:rsidR="00636C17" w:rsidRPr="00636C17" w:rsidRDefault="00636C17">
      <w:r w:rsidRPr="00636C17">
        <w:t>NOx emissions from the Bus, diesel car and diesel LGV sectors dominate the</w:t>
      </w:r>
      <w:r w:rsidRPr="00636C17">
        <w:br/>
        <w:t>Midhurst location with the ratio of NOx emissions at approx. 85% over the period</w:t>
      </w:r>
      <w:r w:rsidRPr="00636C17">
        <w:br/>
        <w:t>between 2018 and 2025. HGV emissions decline as a proportion of the total NOx</w:t>
      </w:r>
      <w:r w:rsidRPr="00636C17">
        <w:br/>
        <w:t>emissions over this period with a reduction from approx. 12.5% to 6%.</w:t>
      </w:r>
    </w:p>
    <w:p w14:paraId="62FC9D9B" w14:textId="77777777" w:rsidR="00F75DA9" w:rsidRDefault="00F75DA9">
      <w:r>
        <w:rPr>
          <w:b/>
        </w:rPr>
        <w:t>Scenario modelling</w:t>
      </w:r>
    </w:p>
    <w:p w14:paraId="10372DDC" w14:textId="77777777" w:rsidR="00F75DA9" w:rsidRDefault="001205CC">
      <w:r>
        <w:t>As described above; baseline modelling</w:t>
      </w:r>
      <w:r w:rsidR="00684F49">
        <w:t xml:space="preserve"> (presented and discussed above)</w:t>
      </w:r>
      <w:r>
        <w:t xml:space="preserve"> provides outputs for the future years modelled (2018, 2020 and 2025). The modelling assumption at this point is that no interventions</w:t>
      </w:r>
      <w:r w:rsidR="0051217D">
        <w:t xml:space="preserve"> (no air quality actions)</w:t>
      </w:r>
      <w:r>
        <w:t xml:space="preserve"> are made in an attempt to improve air quality</w:t>
      </w:r>
      <w:r w:rsidR="00B048A1">
        <w:t xml:space="preserve"> (though the input data includes assumptions about fleet improvements and the number of vehicle movements due to additional housing and a larger local population)</w:t>
      </w:r>
      <w:r>
        <w:t xml:space="preserve">. The source-apportionment </w:t>
      </w:r>
      <w:r w:rsidR="00B048A1">
        <w:t xml:space="preserve">(presented above) </w:t>
      </w:r>
      <w:r>
        <w:t xml:space="preserve">allows </w:t>
      </w:r>
      <w:r w:rsidR="00637C32">
        <w:t xml:space="preserve">us to understand how the different classes of vehicles that make up the vehicle fleet contribute pollution to air quality in a specific area. </w:t>
      </w:r>
      <w:r w:rsidR="00AD6B38">
        <w:t xml:space="preserve">This understanding can assist us in </w:t>
      </w:r>
      <w:r w:rsidR="00BD1F34">
        <w:t>design</w:t>
      </w:r>
      <w:r w:rsidR="00AD6B38">
        <w:t xml:space="preserve">ing interventions that are </w:t>
      </w:r>
      <w:r w:rsidR="00BD1F34">
        <w:t xml:space="preserve">targeted and proportionate. </w:t>
      </w:r>
    </w:p>
    <w:p w14:paraId="2FE70FA3" w14:textId="0306BF5E" w:rsidR="005C30B0" w:rsidRDefault="00B048A1">
      <w:r>
        <w:lastRenderedPageBreak/>
        <w:t>To design effective policy i</w:t>
      </w:r>
      <w:r w:rsidR="005C30B0">
        <w:t>t is necessary to focus air quality actions on issues which it is theoretically possible for the Council and its partners to affect. As such the two scenarios chosen for modelling were improved bus emission standards and modal-shift.</w:t>
      </w:r>
    </w:p>
    <w:p w14:paraId="4E4FBB54" w14:textId="77777777" w:rsidR="00684F49" w:rsidRDefault="00684F49" w:rsidP="004250E0">
      <w:pPr>
        <w:spacing w:after="0"/>
      </w:pPr>
      <w:r>
        <w:t xml:space="preserve">For St Pancras and Rumbolds Hill AQMAs </w:t>
      </w:r>
      <w:r w:rsidR="004250E0">
        <w:t>buses are identified as significant contributors of NOx</w:t>
      </w:r>
      <w:r w:rsidR="006C492D">
        <w:t xml:space="preserve"> at 37.8% and 13.9% of all vehicle emissions respectively</w:t>
      </w:r>
      <w:r w:rsidR="004250E0">
        <w:t>.</w:t>
      </w:r>
      <w:r w:rsidR="005C30B0">
        <w:t xml:space="preserve"> </w:t>
      </w:r>
    </w:p>
    <w:p w14:paraId="63D25A8F" w14:textId="77777777" w:rsidR="00AC27E2" w:rsidRDefault="00AC27E2" w:rsidP="004250E0">
      <w:pPr>
        <w:spacing w:after="0"/>
      </w:pPr>
    </w:p>
    <w:p w14:paraId="17E90003" w14:textId="77777777" w:rsidR="00AC27E2" w:rsidRDefault="00CC4A66" w:rsidP="004250E0">
      <w:pPr>
        <w:spacing w:after="0"/>
      </w:pPr>
      <w:r w:rsidRPr="00CC4A66">
        <w:rPr>
          <w:b/>
        </w:rPr>
        <w:t>Chichester Buses Low Emission Zone Scenario modelling</w:t>
      </w:r>
    </w:p>
    <w:p w14:paraId="60B22152" w14:textId="77777777" w:rsidR="00CC4A66" w:rsidRDefault="00CC4A66" w:rsidP="004250E0">
      <w:pPr>
        <w:spacing w:after="0"/>
      </w:pPr>
    </w:p>
    <w:p w14:paraId="2CB52367" w14:textId="2EBE0D23" w:rsidR="00CC4A66" w:rsidRDefault="00CC4A66" w:rsidP="004250E0">
      <w:pPr>
        <w:spacing w:after="0"/>
      </w:pPr>
      <w:r>
        <w:t>WSCC provided details of Stagecoach’s current fleet’s engine standards and an indication of which routes the vehicles were run on. This enabled model runs to establish the predicted NOx contribution from the buses to the St Pancras AQMA</w:t>
      </w:r>
      <w:r w:rsidR="004B6861">
        <w:t xml:space="preserve"> and all Chichester receptor locations</w:t>
      </w:r>
      <w:r>
        <w:t xml:space="preserve"> both with </w:t>
      </w:r>
      <w:r w:rsidR="004B6861">
        <w:t>th</w:t>
      </w:r>
      <w:r>
        <w:t xml:space="preserve">e fleet as existing </w:t>
      </w:r>
      <w:r w:rsidR="004B6861">
        <w:t>(bas</w:t>
      </w:r>
      <w:r w:rsidR="00D17C5C">
        <w:t>e</w:t>
      </w:r>
      <w:r w:rsidR="004B6861">
        <w:t xml:space="preserve">line) </w:t>
      </w:r>
      <w:r>
        <w:t>and with the fleet fully upgraded to Euro VI engine standard.</w:t>
      </w:r>
    </w:p>
    <w:p w14:paraId="3C1BED60" w14:textId="77777777" w:rsidR="00CC4A66" w:rsidRDefault="00CC4A66" w:rsidP="004250E0">
      <w:pPr>
        <w:spacing w:after="0"/>
      </w:pPr>
    </w:p>
    <w:p w14:paraId="166E563E" w14:textId="47447848" w:rsidR="00CC4A66" w:rsidRDefault="00CC4A66" w:rsidP="004250E0">
      <w:pPr>
        <w:spacing w:after="0"/>
      </w:pPr>
      <w:r>
        <w:t>The full details of this scenario are in the air quality modelling ‘Report 2: Scenario Modelling’</w:t>
      </w:r>
      <w:r w:rsidR="00023D23">
        <w:t xml:space="preserve"> see website</w:t>
      </w:r>
      <w:r>
        <w:t xml:space="preserve">. </w:t>
      </w:r>
      <w:r w:rsidR="004B6861">
        <w:t xml:space="preserve">For several receptor locations this scenario makes a significant difference in the predicted </w:t>
      </w:r>
      <w:r w:rsidR="00292B43">
        <w:t>NO</w:t>
      </w:r>
      <w:r w:rsidR="00292B43" w:rsidRPr="00292B43">
        <w:rPr>
          <w:vertAlign w:val="subscript"/>
        </w:rPr>
        <w:t>2</w:t>
      </w:r>
      <w:r w:rsidR="00292B43">
        <w:t xml:space="preserve"> concentration compared to the baseline. For The Hornet, St Pancras and Orchard Street the predicted reduction in the annual mean concentration is of the range -2.9</w:t>
      </w:r>
      <w:r w:rsidR="00292B43" w:rsidRPr="00292B43">
        <w:t xml:space="preserve"> </w:t>
      </w:r>
      <w:r w:rsidR="00292B43">
        <w:t>µgm</w:t>
      </w:r>
      <w:r w:rsidR="00292B43" w:rsidRPr="00292B43">
        <w:rPr>
          <w:vertAlign w:val="superscript"/>
        </w:rPr>
        <w:t>-3</w:t>
      </w:r>
      <w:r w:rsidR="00292B43">
        <w:t xml:space="preserve"> to -3.5µgm</w:t>
      </w:r>
      <w:r w:rsidR="00292B43" w:rsidRPr="00292B43">
        <w:rPr>
          <w:vertAlign w:val="superscript"/>
        </w:rPr>
        <w:t>-3</w:t>
      </w:r>
      <w:r w:rsidR="006D2BA2">
        <w:t xml:space="preserve"> at 2021</w:t>
      </w:r>
      <w:r w:rsidR="00292B43">
        <w:t>. As such, from a pure air quality perspective this scenario is a priority action for this plan.</w:t>
      </w:r>
    </w:p>
    <w:p w14:paraId="21EF3E40" w14:textId="77777777" w:rsidR="00CC4A66" w:rsidRDefault="00CC4A66" w:rsidP="004250E0">
      <w:pPr>
        <w:spacing w:after="0"/>
      </w:pPr>
    </w:p>
    <w:p w14:paraId="7233D9CA" w14:textId="77777777" w:rsidR="00CC4A66" w:rsidRDefault="00CC4A66" w:rsidP="004250E0">
      <w:pPr>
        <w:spacing w:after="0"/>
        <w:rPr>
          <w:b/>
        </w:rPr>
      </w:pPr>
      <w:r>
        <w:rPr>
          <w:b/>
        </w:rPr>
        <w:t>Modal shift scenario</w:t>
      </w:r>
    </w:p>
    <w:p w14:paraId="4A371198" w14:textId="77777777" w:rsidR="00CC4A66" w:rsidRDefault="00CC4A66" w:rsidP="004250E0">
      <w:pPr>
        <w:spacing w:after="0"/>
        <w:rPr>
          <w:b/>
        </w:rPr>
      </w:pPr>
    </w:p>
    <w:p w14:paraId="3DAACDC2" w14:textId="06D08BB1" w:rsidR="00292B43" w:rsidRDefault="00292B43" w:rsidP="004250E0">
      <w:pPr>
        <w:spacing w:after="0"/>
      </w:pPr>
      <w:r w:rsidRPr="00292B43">
        <w:t xml:space="preserve">Modal-shift </w:t>
      </w:r>
      <w:r>
        <w:t xml:space="preserve">is getting people out of their cars to greener modes of transport and, where possible, to walk and cycle. Walking and cycling are zero emission forms of transport and are </w:t>
      </w:r>
      <w:r w:rsidR="00A437CC">
        <w:t xml:space="preserve">ideal, subject to many variables, for local journeys. AQAPs commonly seek to affect transport mode choice and in </w:t>
      </w:r>
      <w:r w:rsidR="006D2BA2">
        <w:t>particular to promote walking and cycling. As such two mod</w:t>
      </w:r>
      <w:r w:rsidR="00BA00AF">
        <w:t>al</w:t>
      </w:r>
      <w:r w:rsidR="006D2BA2">
        <w:t>–shift scenarios, of 2% and 5%, were modelled.</w:t>
      </w:r>
    </w:p>
    <w:p w14:paraId="5CA467A3" w14:textId="77777777" w:rsidR="006D2BA2" w:rsidRDefault="006D2BA2" w:rsidP="004250E0">
      <w:pPr>
        <w:spacing w:after="0"/>
      </w:pPr>
    </w:p>
    <w:p w14:paraId="2A28C217" w14:textId="77777777" w:rsidR="006D2BA2" w:rsidRPr="006D2BA2" w:rsidRDefault="006D2BA2" w:rsidP="004250E0">
      <w:pPr>
        <w:spacing w:after="0"/>
      </w:pPr>
      <w:r>
        <w:t>The maximum annual mean NO</w:t>
      </w:r>
      <w:r w:rsidRPr="006D2BA2">
        <w:rPr>
          <w:vertAlign w:val="subscript"/>
        </w:rPr>
        <w:t>2</w:t>
      </w:r>
      <w:r>
        <w:t xml:space="preserve"> concentration reduction predicted by the 5% modal-shift (to zero emission transport) at 2021 was -0.9</w:t>
      </w:r>
      <w:r w:rsidRPr="006D2BA2">
        <w:t xml:space="preserve"> </w:t>
      </w:r>
      <w:r>
        <w:t>µgm</w:t>
      </w:r>
      <w:r w:rsidRPr="00292B43">
        <w:rPr>
          <w:vertAlign w:val="superscript"/>
        </w:rPr>
        <w:t>-3</w:t>
      </w:r>
      <w:r>
        <w:t xml:space="preserve"> for Chichester and and -0.4</w:t>
      </w:r>
      <w:r w:rsidRPr="006D2BA2">
        <w:t xml:space="preserve"> </w:t>
      </w:r>
      <w:r>
        <w:t>µgm</w:t>
      </w:r>
      <w:r w:rsidRPr="00292B43">
        <w:rPr>
          <w:vertAlign w:val="superscript"/>
        </w:rPr>
        <w:t>-3</w:t>
      </w:r>
      <w:r>
        <w:t xml:space="preserve"> for Midhurst. Nevertheless mode-shift has a multitude of co-benefits for physical health, mental health and climate change and remains a priority for this AQAP. </w:t>
      </w:r>
    </w:p>
    <w:p w14:paraId="78AAB914" w14:textId="77777777" w:rsidR="001205CC" w:rsidRDefault="00C10B44" w:rsidP="00442FD7">
      <w:pPr>
        <w:pStyle w:val="Heading1"/>
        <w:numPr>
          <w:ilvl w:val="0"/>
          <w:numId w:val="25"/>
        </w:numPr>
      </w:pPr>
      <w:bookmarkStart w:id="37" w:name="_Toc96511387"/>
      <w:r>
        <w:t>Required reductions in emissions</w:t>
      </w:r>
      <w:bookmarkEnd w:id="37"/>
    </w:p>
    <w:p w14:paraId="488B3478" w14:textId="77777777" w:rsidR="006C492D" w:rsidRPr="006C492D" w:rsidRDefault="006C492D">
      <w:r>
        <w:t>DEFRA require that authorities detail the reduction in emissions required for a location to become compliant with the relevant air quality standard.</w:t>
      </w:r>
    </w:p>
    <w:p w14:paraId="1F68B158" w14:textId="77777777" w:rsidR="00C10B44" w:rsidRDefault="00C10B44">
      <w:pPr>
        <w:rPr>
          <w:b/>
        </w:rPr>
      </w:pPr>
      <w:r>
        <w:rPr>
          <w:b/>
        </w:rPr>
        <w:t xml:space="preserve">Orchard Street AQMA </w:t>
      </w:r>
    </w:p>
    <w:p w14:paraId="0E6836F7" w14:textId="77777777" w:rsidR="00C10B44" w:rsidRDefault="00C10B44">
      <w:r>
        <w:t>Air quality monitoring data from Orchard Street indicates that air quality at that location has been compliant with the annual mean NO</w:t>
      </w:r>
      <w:r w:rsidRPr="00C10B44">
        <w:rPr>
          <w:vertAlign w:val="subscript"/>
        </w:rPr>
        <w:t>2</w:t>
      </w:r>
      <w:r>
        <w:t xml:space="preserve"> standard for over five years. Furthermore the five year trend in air quality there is towards greater compliance and the degree of compliance is now significant. </w:t>
      </w:r>
    </w:p>
    <w:p w14:paraId="4F116BD5" w14:textId="77777777" w:rsidR="00C10B44" w:rsidRDefault="00C10B44">
      <w:r>
        <w:lastRenderedPageBreak/>
        <w:t>Air quality modelling data for Orchard Street build</w:t>
      </w:r>
      <w:r w:rsidR="00C95859">
        <w:t>s</w:t>
      </w:r>
      <w:r>
        <w:t xml:space="preserve"> on the evidence from the air quality monitoring </w:t>
      </w:r>
      <w:r w:rsidR="00C95859">
        <w:t>and suggests that at 2020 the degree of compliance will be approximately 7</w:t>
      </w:r>
      <w:r w:rsidR="00C95859" w:rsidRPr="00C95859">
        <w:t xml:space="preserve"> </w:t>
      </w:r>
      <w:r w:rsidR="00C95859">
        <w:t>µgm</w:t>
      </w:r>
      <w:r w:rsidR="00C95859" w:rsidRPr="00C95859">
        <w:rPr>
          <w:vertAlign w:val="superscript"/>
        </w:rPr>
        <w:t>-3</w:t>
      </w:r>
      <w:r w:rsidR="00C95859">
        <w:t xml:space="preserve"> (or 17.5% ) and by 202</w:t>
      </w:r>
      <w:r w:rsidR="005446DF">
        <w:t>5</w:t>
      </w:r>
      <w:r w:rsidR="00C95859">
        <w:t xml:space="preserve"> the degree of compliance will be 10µgm</w:t>
      </w:r>
      <w:r w:rsidR="00C95859" w:rsidRPr="00C95859">
        <w:rPr>
          <w:vertAlign w:val="superscript"/>
        </w:rPr>
        <w:t>-3</w:t>
      </w:r>
      <w:r w:rsidR="00C95859">
        <w:t xml:space="preserve"> (or 25%).</w:t>
      </w:r>
    </w:p>
    <w:p w14:paraId="6A62BCDE" w14:textId="0FA09038" w:rsidR="00C10B44" w:rsidRDefault="008D68D8">
      <w:r>
        <w:t>Given the length of time that air quality at Orchard Street has been compliant and the margin of compliance currently and predicted for the future then this AQMA will be undeclared.</w:t>
      </w:r>
    </w:p>
    <w:p w14:paraId="68F47F77" w14:textId="77777777" w:rsidR="00C95859" w:rsidRDefault="00C95859">
      <w:pPr>
        <w:rPr>
          <w:b/>
        </w:rPr>
      </w:pPr>
      <w:r>
        <w:rPr>
          <w:b/>
        </w:rPr>
        <w:t xml:space="preserve">Stockbridge </w:t>
      </w:r>
      <w:r w:rsidR="008D58F0">
        <w:rPr>
          <w:b/>
        </w:rPr>
        <w:t xml:space="preserve">A27 roundabout </w:t>
      </w:r>
      <w:r>
        <w:rPr>
          <w:b/>
        </w:rPr>
        <w:t>AQMA</w:t>
      </w:r>
    </w:p>
    <w:p w14:paraId="06CAEAE0" w14:textId="77777777" w:rsidR="006A00BC" w:rsidRDefault="006A00BC" w:rsidP="006A00BC">
      <w:r>
        <w:t>Worst-case air quality monitoring data from the Stockbridge AQMA indicates that air quality at that location has been compliant with the annual mean NO</w:t>
      </w:r>
      <w:r w:rsidRPr="00C10B44">
        <w:rPr>
          <w:vertAlign w:val="subscript"/>
        </w:rPr>
        <w:t>2</w:t>
      </w:r>
      <w:r>
        <w:t xml:space="preserve"> standard for three years. Furthermore the five year trend in air quality there is towards greater compliance and the degree of compliance is now significant. </w:t>
      </w:r>
    </w:p>
    <w:p w14:paraId="31A14368" w14:textId="77777777" w:rsidR="006A00BC" w:rsidRDefault="006A00BC" w:rsidP="006A00BC">
      <w:r>
        <w:t>Air quality modelling data for Stockbridge AQMA builds on the evidence from the air quality monitoring and suggests that at 2020 the degree of compliance will be approximately 10</w:t>
      </w:r>
      <w:r w:rsidRPr="00C95859">
        <w:t xml:space="preserve"> </w:t>
      </w:r>
      <w:r>
        <w:t>µgm</w:t>
      </w:r>
      <w:r w:rsidRPr="00C95859">
        <w:rPr>
          <w:vertAlign w:val="superscript"/>
        </w:rPr>
        <w:t>-3</w:t>
      </w:r>
      <w:r>
        <w:t xml:space="preserve"> (or 25% ) and by 2020 the degree of compliance will be 15µgm</w:t>
      </w:r>
      <w:r w:rsidRPr="00C95859">
        <w:rPr>
          <w:vertAlign w:val="superscript"/>
        </w:rPr>
        <w:t>-3</w:t>
      </w:r>
      <w:r>
        <w:t xml:space="preserve"> (or 38%).</w:t>
      </w:r>
    </w:p>
    <w:p w14:paraId="12A3B0D2" w14:textId="68C2A41B" w:rsidR="00C95859" w:rsidRDefault="008D68D8">
      <w:r>
        <w:t>Given the length of time that air quality at Stockbridge has been compliant and the comfortable degree of compliance currently and predicted for the future then this AQMA will be undeclared</w:t>
      </w:r>
      <w:r w:rsidR="00D8035E">
        <w:t xml:space="preserve">. </w:t>
      </w:r>
    </w:p>
    <w:p w14:paraId="2CC31912" w14:textId="77777777" w:rsidR="003276E6" w:rsidRDefault="003276E6">
      <w:r>
        <w:rPr>
          <w:b/>
        </w:rPr>
        <w:t>Rumbold’s Hill, Midhurst</w:t>
      </w:r>
      <w:r w:rsidR="009601E2">
        <w:rPr>
          <w:b/>
        </w:rPr>
        <w:t xml:space="preserve"> AQMA</w:t>
      </w:r>
    </w:p>
    <w:p w14:paraId="53A58488" w14:textId="77777777" w:rsidR="003276E6" w:rsidRDefault="003276E6">
      <w:r>
        <w:t xml:space="preserve">At the current </w:t>
      </w:r>
      <w:r w:rsidR="008102D9">
        <w:t xml:space="preserve">time Rumbold’s Hill’s air quality monitoring data indicates that air quality there is at parity with the Air Quality Standard. As such air quality at this location is compliant, albeit very marginally. Given the reduction in traffic volumes through the period of Covid-19 then we anticipate that the 2020 monitoring data will not be a reliable metric by which to establish any indication of a trend in pollution concentrations. As such it seems likely that the first data useful in making judgements about pollution trends at this location will be available in the spring of 2022. </w:t>
      </w:r>
    </w:p>
    <w:p w14:paraId="0FDA29B4" w14:textId="77777777" w:rsidR="008102D9" w:rsidRDefault="008102D9">
      <w:r>
        <w:t xml:space="preserve">In any case the air quality modelling for this location suggests a trend of increasing compliance. </w:t>
      </w:r>
    </w:p>
    <w:p w14:paraId="3F7E9F21" w14:textId="77777777" w:rsidR="008102D9" w:rsidRDefault="008102D9">
      <w:r>
        <w:t xml:space="preserve">As such there is no required reduction in pollution levels in this location in order to achieve compliance. Nevertheless a watching brief is recommended of a minimum period of four years prior to making any decisions as to whether the AQMA </w:t>
      </w:r>
      <w:r w:rsidR="009601E2">
        <w:t>remains or could be un-declared.</w:t>
      </w:r>
    </w:p>
    <w:p w14:paraId="5F58F8F9" w14:textId="77777777" w:rsidR="009601E2" w:rsidRDefault="009601E2">
      <w:r>
        <w:rPr>
          <w:b/>
        </w:rPr>
        <w:t>St Pancras AQMA</w:t>
      </w:r>
    </w:p>
    <w:p w14:paraId="73545EFE" w14:textId="77777777" w:rsidR="009601E2" w:rsidRDefault="00A760FF">
      <w:r>
        <w:t xml:space="preserve">Air quality monitoring at St Pancras continues to measure non-compliance with the Annual Mean Standard for </w:t>
      </w:r>
      <w:r w:rsidR="00FF5C79">
        <w:t xml:space="preserve">Nitrogen Dioxide and air quality modelling </w:t>
      </w:r>
      <w:r w:rsidR="006378DD">
        <w:t>suggests borderline compliance at 2025</w:t>
      </w:r>
      <w:r w:rsidR="006C492D">
        <w:t>. Nevertheless the model performance issues described above make us more reliant on the monitoring data for this site</w:t>
      </w:r>
      <w:r w:rsidR="006378DD">
        <w:t>.</w:t>
      </w:r>
      <w:r w:rsidR="006C492D">
        <w:t xml:space="preserve"> </w:t>
      </w:r>
    </w:p>
    <w:p w14:paraId="06CD1DC1" w14:textId="77777777" w:rsidR="00E14830" w:rsidRDefault="00D72133">
      <w:r>
        <w:t>The 2019 - 2020 monitored annual mean for NO</w:t>
      </w:r>
      <w:r w:rsidRPr="00D72133">
        <w:rPr>
          <w:vertAlign w:val="subscript"/>
        </w:rPr>
        <w:t>2</w:t>
      </w:r>
      <w:r>
        <w:t xml:space="preserve"> was 4</w:t>
      </w:r>
      <w:r w:rsidR="00927D46">
        <w:t>2</w:t>
      </w:r>
      <w:r>
        <w:t>µgm</w:t>
      </w:r>
      <w:r w:rsidRPr="00D72133">
        <w:rPr>
          <w:vertAlign w:val="superscript"/>
        </w:rPr>
        <w:t>-3</w:t>
      </w:r>
      <w:r>
        <w:t>.</w:t>
      </w:r>
    </w:p>
    <w:p w14:paraId="05FB22C0" w14:textId="77777777" w:rsidR="00DB7BAC" w:rsidRDefault="00DB7BAC" w:rsidP="006C492D">
      <w:pPr>
        <w:ind w:left="720"/>
      </w:pPr>
      <w:r>
        <w:rPr>
          <w:b/>
        </w:rPr>
        <w:t>Required Reduction in Emissions</w:t>
      </w:r>
      <w:r w:rsidR="0051217D">
        <w:rPr>
          <w:b/>
        </w:rPr>
        <w:t xml:space="preserve"> for St Pancras</w:t>
      </w:r>
    </w:p>
    <w:p w14:paraId="0E70C49E" w14:textId="77777777" w:rsidR="00DB7BAC" w:rsidRDefault="00DB7BAC">
      <w:r>
        <w:t xml:space="preserve">DEFRA Guidance suggests that AQAPs contain an estimate of the reduction in emissions necessary to deliver compliance with the AQS should be presented in AQAP’s. </w:t>
      </w:r>
    </w:p>
    <w:p w14:paraId="1733A2F7" w14:textId="77777777" w:rsidR="00DB7BAC" w:rsidRDefault="00DB7BAC">
      <w:r>
        <w:lastRenderedPageBreak/>
        <w:t xml:space="preserve">The monitoring and modelling data described above shows that only the air quality at St Pancras, Chichester is currently non-compliant and is predicted to be non-compliant until 2025. </w:t>
      </w:r>
      <w:r w:rsidR="005B3C11">
        <w:t xml:space="preserve">As such it is only necessary that CDC calculates the reductions in emissions necessary to achieve the AQS for St Pancras, Chichester as all other locations are already compliant, albeit for the case of Rumbolds Hill the compliance is borderline. </w:t>
      </w:r>
    </w:p>
    <w:p w14:paraId="32FF8EBC" w14:textId="566FECE4" w:rsidR="005B3C11" w:rsidRDefault="005B3C11">
      <w:r>
        <w:t xml:space="preserve">The calculation for the reduction necessary at St Pancras, Chichester is </w:t>
      </w:r>
      <w:r w:rsidR="0007798C">
        <w:t>presented</w:t>
      </w:r>
      <w:r w:rsidR="007B506E">
        <w:rPr>
          <w:rStyle w:val="FootnoteReference"/>
        </w:rPr>
        <w:footnoteReference w:id="31"/>
      </w:r>
      <w:r w:rsidR="0007798C">
        <w:t xml:space="preserve"> at Appendix </w:t>
      </w:r>
      <w:r w:rsidR="002F6159">
        <w:t>4</w:t>
      </w:r>
      <w:r w:rsidR="0007798C">
        <w:t xml:space="preserve"> and is calculated as </w:t>
      </w:r>
      <w:r w:rsidR="00796FE3">
        <w:t>7.2</w:t>
      </w:r>
      <w:r w:rsidR="0007798C">
        <w:t xml:space="preserve">% decrease in road </w:t>
      </w:r>
      <w:r w:rsidR="00796FE3">
        <w:t>NOx  emissions based on the 2019</w:t>
      </w:r>
      <w:r w:rsidR="0007798C">
        <w:t xml:space="preserve"> diffusion tube measurement made at St Pancras of 4</w:t>
      </w:r>
      <w:r w:rsidR="00796FE3">
        <w:t>2</w:t>
      </w:r>
      <w:r w:rsidR="0007798C">
        <w:t>µgm</w:t>
      </w:r>
      <w:r w:rsidR="0007798C" w:rsidRPr="0007798C">
        <w:rPr>
          <w:vertAlign w:val="superscript"/>
        </w:rPr>
        <w:t>-3</w:t>
      </w:r>
      <w:r w:rsidR="0007798C">
        <w:t xml:space="preserve"> and allowing for a background concentration of 13.87µgm</w:t>
      </w:r>
      <w:r w:rsidR="0007798C" w:rsidRPr="0007798C">
        <w:rPr>
          <w:vertAlign w:val="superscript"/>
        </w:rPr>
        <w:t>-3</w:t>
      </w:r>
      <w:r w:rsidR="0007798C">
        <w:t xml:space="preserve"> as NOx</w:t>
      </w:r>
      <w:r w:rsidR="00D066EC">
        <w:t>. This is the reduction in NOx emissions necessary for the air quality at St Pancras to become compliant with the relevant Air Quality Standard (ie 40</w:t>
      </w:r>
      <w:r w:rsidR="00E74A3F">
        <w:t>µ</w:t>
      </w:r>
      <w:r w:rsidR="00D066EC">
        <w:t>gm</w:t>
      </w:r>
      <w:r w:rsidR="00D066EC" w:rsidRPr="00D066EC">
        <w:rPr>
          <w:vertAlign w:val="superscript"/>
        </w:rPr>
        <w:t>-3</w:t>
      </w:r>
      <w:r w:rsidR="00D066EC">
        <w:t xml:space="preserve"> stated as an annual mean NO</w:t>
      </w:r>
      <w:r w:rsidR="00D066EC" w:rsidRPr="00D066EC">
        <w:rPr>
          <w:vertAlign w:val="subscript"/>
        </w:rPr>
        <w:t>2</w:t>
      </w:r>
      <w:r w:rsidR="00D066EC">
        <w:t xml:space="preserve"> concentration)</w:t>
      </w:r>
      <w:r w:rsidR="0007798C">
        <w:t>.</w:t>
      </w:r>
      <w:r w:rsidR="007B506E">
        <w:t xml:space="preserve"> The necessary road NOx reduction is useful in the context of the scenario modelling reported above which predicts what is achievable through improved emissions from buses and from transferring car journeys to walking and cycling (‘Smarter Choices’).</w:t>
      </w:r>
      <w:r w:rsidR="00D066EC">
        <w:t xml:space="preserve"> There are many other sources of NOx and although it was not possible to model these t</w:t>
      </w:r>
      <w:r w:rsidR="00E74A3F">
        <w:t>h</w:t>
      </w:r>
      <w:r w:rsidR="00D066EC">
        <w:t>ey remain important in seeking to reduce ambient pollution. The private licensed hire fleet and hackney cabs are such an example.</w:t>
      </w:r>
    </w:p>
    <w:p w14:paraId="11139432" w14:textId="77777777" w:rsidR="0065373B" w:rsidRDefault="0065373B" w:rsidP="00442FD7">
      <w:pPr>
        <w:pStyle w:val="Heading1"/>
        <w:numPr>
          <w:ilvl w:val="0"/>
          <w:numId w:val="25"/>
        </w:numPr>
      </w:pPr>
      <w:bookmarkStart w:id="38" w:name="_Toc96511388"/>
      <w:r w:rsidRPr="0065373B">
        <w:t>The Way Forward</w:t>
      </w:r>
      <w:bookmarkEnd w:id="38"/>
    </w:p>
    <w:p w14:paraId="37290A19" w14:textId="77777777" w:rsidR="005368E3" w:rsidRDefault="00DB5A9D">
      <w:r>
        <w:t>Traffic is the dominant source of local air pollution for Chichester and Midhurst</w:t>
      </w:r>
      <w:r w:rsidR="00AC39A0">
        <w:t xml:space="preserve"> (where our AQMAs are located) and so our overall focus is on</w:t>
      </w:r>
      <w:r w:rsidR="0065373B">
        <w:t xml:space="preserve"> measures that tackle</w:t>
      </w:r>
      <w:r w:rsidR="00AC39A0">
        <w:t xml:space="preserve"> transport</w:t>
      </w:r>
      <w:r w:rsidR="0065373B">
        <w:t xml:space="preserve"> emissions</w:t>
      </w:r>
      <w:r>
        <w:t xml:space="preserve">. </w:t>
      </w:r>
      <w:r w:rsidR="00655806">
        <w:t>W</w:t>
      </w:r>
      <w:r w:rsidR="00AC39A0">
        <w:t xml:space="preserve">e are aware that road transport plays a vital role in all of our lives and so the overall approach here is not anti-car but more pro-choice, leadership and fostering change. Like many complex problems there </w:t>
      </w:r>
      <w:r w:rsidR="0065373B">
        <w:t>is</w:t>
      </w:r>
      <w:r w:rsidR="00AC39A0">
        <w:t xml:space="preserve"> no </w:t>
      </w:r>
      <w:r w:rsidR="0065373B">
        <w:t>single solution</w:t>
      </w:r>
      <w:r w:rsidR="00AC39A0">
        <w:t xml:space="preserve"> but more the aggregation of marginal gains from many measures to assist in tackling the issue. </w:t>
      </w:r>
      <w:r w:rsidR="0065373B">
        <w:t>Our priorities should simultaneously assist in tackling climate change/greenhouse gas emissions</w:t>
      </w:r>
      <w:r w:rsidR="007D582A">
        <w:t xml:space="preserve"> as we recognise that the two issues of poor air quality and climate change are highly interrelated</w:t>
      </w:r>
      <w:r w:rsidR="0065373B">
        <w:t>.</w:t>
      </w:r>
    </w:p>
    <w:p w14:paraId="3C7522F2" w14:textId="6A9BAC8B" w:rsidR="00AC39A0" w:rsidRDefault="0065373B">
      <w:r>
        <w:t>Whilst our AQMAs are all discre</w:t>
      </w:r>
      <w:r w:rsidR="00103A73">
        <w:t>e</w:t>
      </w:r>
      <w:r>
        <w:t xml:space="preserve">t locations </w:t>
      </w:r>
      <w:r w:rsidR="007D582A">
        <w:t>in Chichester and Midhurst the effect of air quality actions should be beneficial in tackling air pollution and climate change gases in all locations.</w:t>
      </w:r>
    </w:p>
    <w:p w14:paraId="74CA6ACA" w14:textId="77777777" w:rsidR="007A43DF" w:rsidRDefault="007A43DF" w:rsidP="00442FD7">
      <w:pPr>
        <w:pStyle w:val="Heading1"/>
        <w:numPr>
          <w:ilvl w:val="0"/>
          <w:numId w:val="25"/>
        </w:numPr>
      </w:pPr>
      <w:bookmarkStart w:id="39" w:name="_Toc96511389"/>
      <w:r>
        <w:t>Conclusions and recommendations</w:t>
      </w:r>
      <w:r w:rsidR="00D23D0D">
        <w:t xml:space="preserve"> from the Monitoring and Modelling</w:t>
      </w:r>
      <w:bookmarkEnd w:id="39"/>
    </w:p>
    <w:p w14:paraId="146FAF29" w14:textId="77777777" w:rsidR="007A43DF" w:rsidRDefault="00D04AF6" w:rsidP="00D23D0D">
      <w:pPr>
        <w:pStyle w:val="ListParagraph"/>
        <w:numPr>
          <w:ilvl w:val="0"/>
          <w:numId w:val="21"/>
        </w:numPr>
      </w:pPr>
      <w:r>
        <w:t>Move to undeclare</w:t>
      </w:r>
      <w:r w:rsidR="00D23D0D">
        <w:t xml:space="preserve"> Orchard Street and Stockbridge A27 Roundabout AQMAs,</w:t>
      </w:r>
    </w:p>
    <w:p w14:paraId="51340729" w14:textId="77777777" w:rsidR="00D23D0D" w:rsidRDefault="00D23D0D" w:rsidP="00D23D0D">
      <w:pPr>
        <w:pStyle w:val="ListParagraph"/>
        <w:numPr>
          <w:ilvl w:val="0"/>
          <w:numId w:val="21"/>
        </w:numPr>
      </w:pPr>
      <w:r>
        <w:t xml:space="preserve">maintain a watching brief for St Pancras and Rumbolds Hill AQMAs, </w:t>
      </w:r>
    </w:p>
    <w:p w14:paraId="54039951" w14:textId="1DC965CD" w:rsidR="00D23D0D" w:rsidRDefault="00D23D0D" w:rsidP="00D23D0D">
      <w:pPr>
        <w:pStyle w:val="ListParagraph"/>
        <w:numPr>
          <w:ilvl w:val="0"/>
          <w:numId w:val="21"/>
        </w:numPr>
      </w:pPr>
      <w:r>
        <w:t>maintain a watching brief for all other locations of interest including; The Hornet, Whyke, A27 roundabout and Oving Road cross-roads,</w:t>
      </w:r>
    </w:p>
    <w:p w14:paraId="52531874" w14:textId="12D842B6" w:rsidR="008D68D8" w:rsidRDefault="008D68D8" w:rsidP="00D23D0D">
      <w:pPr>
        <w:pStyle w:val="ListParagraph"/>
        <w:numPr>
          <w:ilvl w:val="0"/>
          <w:numId w:val="21"/>
        </w:numPr>
      </w:pPr>
      <w:r>
        <w:t>Keep Orchard St monitoring station until such time its equipment fails and then it will be decommissioned,</w:t>
      </w:r>
    </w:p>
    <w:p w14:paraId="291DA812" w14:textId="77777777" w:rsidR="00D23D0D" w:rsidRDefault="00470812" w:rsidP="00D23D0D">
      <w:pPr>
        <w:pStyle w:val="ListParagraph"/>
        <w:numPr>
          <w:ilvl w:val="0"/>
          <w:numId w:val="21"/>
        </w:numPr>
      </w:pPr>
      <w:r>
        <w:t xml:space="preserve">decommission </w:t>
      </w:r>
      <w:r w:rsidR="00D23D0D">
        <w:t>the real-time ozone monitoring station at Lodsworth and</w:t>
      </w:r>
    </w:p>
    <w:p w14:paraId="71C586BD" w14:textId="77777777" w:rsidR="00D23D0D" w:rsidRPr="007A43DF" w:rsidRDefault="00D23D0D" w:rsidP="00D23D0D">
      <w:pPr>
        <w:pStyle w:val="ListParagraph"/>
        <w:numPr>
          <w:ilvl w:val="0"/>
          <w:numId w:val="21"/>
        </w:numPr>
      </w:pPr>
      <w:r>
        <w:t>develop on-going actions to continue to tackle the remaining issues.</w:t>
      </w:r>
    </w:p>
    <w:p w14:paraId="41CEF673" w14:textId="77777777" w:rsidR="007D582A" w:rsidRPr="007D582A" w:rsidRDefault="007A43DF" w:rsidP="00442FD7">
      <w:pPr>
        <w:pStyle w:val="Heading1"/>
        <w:numPr>
          <w:ilvl w:val="0"/>
          <w:numId w:val="25"/>
        </w:numPr>
      </w:pPr>
      <w:bookmarkStart w:id="40" w:name="_Toc96511390"/>
      <w:r>
        <w:lastRenderedPageBreak/>
        <w:t xml:space="preserve">Air Quality Actions - </w:t>
      </w:r>
      <w:r w:rsidR="007D582A">
        <w:t>Key Themes</w:t>
      </w:r>
      <w:bookmarkEnd w:id="40"/>
    </w:p>
    <w:p w14:paraId="3BD161EF" w14:textId="77777777" w:rsidR="007D582A" w:rsidRPr="007D582A" w:rsidRDefault="007D582A">
      <w:pPr>
        <w:rPr>
          <w:b/>
        </w:rPr>
      </w:pPr>
      <w:r w:rsidRPr="007D582A">
        <w:rPr>
          <w:b/>
        </w:rPr>
        <w:t xml:space="preserve">Theme 1: Support for development of sustainable transport measures </w:t>
      </w:r>
    </w:p>
    <w:p w14:paraId="6AA6E497" w14:textId="77777777" w:rsidR="007D582A" w:rsidRDefault="007D582A">
      <w:r>
        <w:t xml:space="preserve">A wide range of measures are required to support the development of alternative </w:t>
      </w:r>
      <w:r w:rsidR="00470812">
        <w:t xml:space="preserve">low emission and </w:t>
      </w:r>
      <w:r>
        <w:t xml:space="preserve">low carbon transport, including transport management measures and investing in public transport infrastructure. Many of these measures will be developed in partnership with the </w:t>
      </w:r>
      <w:r w:rsidR="00470812">
        <w:t>WSCC</w:t>
      </w:r>
      <w:r>
        <w:t xml:space="preserve"> as the Transport Authority. </w:t>
      </w:r>
    </w:p>
    <w:p w14:paraId="1F9C5BBC" w14:textId="443B7DCD" w:rsidR="00911EE9" w:rsidRDefault="00911EE9" w:rsidP="009608F3">
      <w:pPr>
        <w:pStyle w:val="ListParagraph"/>
        <w:numPr>
          <w:ilvl w:val="0"/>
          <w:numId w:val="18"/>
        </w:numPr>
      </w:pPr>
      <w:r>
        <w:t>We will continue to develop</w:t>
      </w:r>
      <w:r w:rsidR="00A00EAF">
        <w:t xml:space="preserve"> and move to implement</w:t>
      </w:r>
      <w:r>
        <w:t xml:space="preserve"> our LCWIP.</w:t>
      </w:r>
    </w:p>
    <w:p w14:paraId="4C77FDD5" w14:textId="1A37CCDF" w:rsidR="009608F3" w:rsidRDefault="009608F3" w:rsidP="009608F3">
      <w:pPr>
        <w:pStyle w:val="ListParagraph"/>
        <w:numPr>
          <w:ilvl w:val="0"/>
          <w:numId w:val="18"/>
        </w:numPr>
      </w:pPr>
      <w:r>
        <w:t>WSCC are in the process of considering how they will roll out EV charge points largely for households who do not have the benefit of off-street parking. This work is in conjunction with district and borough councils and we will consider CDC’s position with regard to this work once the full details are known.</w:t>
      </w:r>
    </w:p>
    <w:p w14:paraId="3251B99C" w14:textId="77777777" w:rsidR="00911EE9" w:rsidRDefault="00911EE9" w:rsidP="009608F3">
      <w:pPr>
        <w:pStyle w:val="ListParagraph"/>
        <w:numPr>
          <w:ilvl w:val="0"/>
          <w:numId w:val="18"/>
        </w:numPr>
      </w:pPr>
      <w:r>
        <w:t>We will continue to seek monies for the delivery of sustainable transport related projects.</w:t>
      </w:r>
    </w:p>
    <w:p w14:paraId="044A585D" w14:textId="77777777" w:rsidR="00D04AF6" w:rsidRDefault="00D04AF6" w:rsidP="009608F3">
      <w:pPr>
        <w:pStyle w:val="ListParagraph"/>
        <w:numPr>
          <w:ilvl w:val="0"/>
          <w:numId w:val="18"/>
        </w:numPr>
      </w:pPr>
      <w:r>
        <w:t>We will support progression of the programme of projects identified by WSCC through the Chichester Area Sustainable Transport Package.</w:t>
      </w:r>
    </w:p>
    <w:p w14:paraId="332C8E39" w14:textId="77777777" w:rsidR="00911EE9" w:rsidRDefault="0085650C" w:rsidP="009608F3">
      <w:pPr>
        <w:pStyle w:val="ListParagraph"/>
        <w:numPr>
          <w:ilvl w:val="0"/>
          <w:numId w:val="18"/>
        </w:numPr>
      </w:pPr>
      <w:r>
        <w:t>Consider the implementation of secure bike parking in relevant locations.</w:t>
      </w:r>
    </w:p>
    <w:p w14:paraId="4F590184" w14:textId="77777777" w:rsidR="0085650C" w:rsidRDefault="0085650C" w:rsidP="009608F3">
      <w:pPr>
        <w:pStyle w:val="ListParagraph"/>
        <w:numPr>
          <w:ilvl w:val="0"/>
          <w:numId w:val="18"/>
        </w:numPr>
      </w:pPr>
      <w:r>
        <w:t>Consider the introduction of bike hire schemes.</w:t>
      </w:r>
    </w:p>
    <w:p w14:paraId="249BF282" w14:textId="77777777" w:rsidR="0085650C" w:rsidRDefault="0085650C" w:rsidP="009608F3">
      <w:pPr>
        <w:pStyle w:val="ListParagraph"/>
        <w:numPr>
          <w:ilvl w:val="0"/>
          <w:numId w:val="18"/>
        </w:numPr>
      </w:pPr>
      <w:r>
        <w:t xml:space="preserve">Consider cargo bikes to reduce last-mile delivery emissions and </w:t>
      </w:r>
      <w:r w:rsidR="00733FCC">
        <w:t>cargo consolidation</w:t>
      </w:r>
    </w:p>
    <w:p w14:paraId="0DB318A1" w14:textId="77777777" w:rsidR="007D582A" w:rsidRDefault="007D582A">
      <w:r w:rsidRPr="007D582A">
        <w:rPr>
          <w:b/>
        </w:rPr>
        <w:t>Theme 2: Support for the uptake of low and zero emission vehicles</w:t>
      </w:r>
      <w:r>
        <w:t xml:space="preserve"> </w:t>
      </w:r>
    </w:p>
    <w:p w14:paraId="2AC4A332" w14:textId="77777777" w:rsidR="007D582A" w:rsidRDefault="007D582A">
      <w:r>
        <w:t>This will look at measures such as low emission vehicle infrastructure development to encourage the uptake of electric and other low emission vehicles. This theme will also cover low emissions behaviours such as eco-driving and anti-idling policies.</w:t>
      </w:r>
    </w:p>
    <w:p w14:paraId="54B56C4F" w14:textId="77777777" w:rsidR="0067540E" w:rsidRDefault="0067540E" w:rsidP="00F027C5">
      <w:pPr>
        <w:spacing w:after="0"/>
      </w:pPr>
      <w:r>
        <w:t xml:space="preserve">To foster change towards </w:t>
      </w:r>
      <w:r w:rsidR="00F027C5">
        <w:t>zero emission vehicles we will:</w:t>
      </w:r>
    </w:p>
    <w:p w14:paraId="4F0906EA" w14:textId="77777777" w:rsidR="0067540E" w:rsidRDefault="0067540E" w:rsidP="0067540E">
      <w:pPr>
        <w:pStyle w:val="ListParagraph"/>
        <w:numPr>
          <w:ilvl w:val="0"/>
          <w:numId w:val="12"/>
        </w:numPr>
      </w:pPr>
      <w:r>
        <w:t>Work with WSCC and bus operators to encourage reductions in bus emissions, support the tightening of emissions standards in contracted services</w:t>
      </w:r>
      <w:r w:rsidR="009567FE">
        <w:t xml:space="preserve"> and explore funding opportunities to reduce bus emissions</w:t>
      </w:r>
      <w:r>
        <w:t>.</w:t>
      </w:r>
    </w:p>
    <w:p w14:paraId="285B0E49" w14:textId="77777777" w:rsidR="0085650C" w:rsidRDefault="0085650C" w:rsidP="0067540E">
      <w:pPr>
        <w:pStyle w:val="ListParagraph"/>
        <w:numPr>
          <w:ilvl w:val="0"/>
          <w:numId w:val="12"/>
        </w:numPr>
      </w:pPr>
      <w:r>
        <w:t xml:space="preserve">Work with the council’s taxi licensing team and wider partners to deliver </w:t>
      </w:r>
      <w:r w:rsidR="003266CD">
        <w:t>infrastructure that will support the electrification of hackney cabs and private hire vehicles.</w:t>
      </w:r>
    </w:p>
    <w:p w14:paraId="483FC0BD" w14:textId="0AD59F04" w:rsidR="00EA04AD" w:rsidRDefault="00EA04AD" w:rsidP="0067540E">
      <w:pPr>
        <w:pStyle w:val="ListParagraph"/>
        <w:numPr>
          <w:ilvl w:val="0"/>
          <w:numId w:val="12"/>
        </w:numPr>
      </w:pPr>
      <w:r>
        <w:t xml:space="preserve">Work with WSCC </w:t>
      </w:r>
      <w:r w:rsidR="002F2C2E">
        <w:t xml:space="preserve">and local businesses </w:t>
      </w:r>
      <w:r w:rsidR="00D04AF6">
        <w:t>to explore</w:t>
      </w:r>
      <w:r w:rsidR="002F2C2E">
        <w:t xml:space="preserve"> the development and implementation of a local </w:t>
      </w:r>
      <w:r w:rsidR="00D04AF6">
        <w:t>fleet recognition</w:t>
      </w:r>
      <w:r w:rsidR="002F2C2E">
        <w:t xml:space="preserve"> scheme</w:t>
      </w:r>
      <w:r w:rsidR="009567FE">
        <w:rPr>
          <w:rStyle w:val="FootnoteReference"/>
        </w:rPr>
        <w:footnoteReference w:id="32"/>
      </w:r>
      <w:r w:rsidR="002F2C2E">
        <w:t>.</w:t>
      </w:r>
    </w:p>
    <w:p w14:paraId="50D1F1AB" w14:textId="77777777" w:rsidR="0067540E" w:rsidRDefault="0067540E" w:rsidP="0067540E">
      <w:pPr>
        <w:pStyle w:val="ListParagraph"/>
        <w:numPr>
          <w:ilvl w:val="0"/>
          <w:numId w:val="12"/>
        </w:numPr>
      </w:pPr>
      <w:r>
        <w:t>Promote the uptake of EVs by working with our partners to install EV charging infrastructure</w:t>
      </w:r>
      <w:r w:rsidR="00BB5163">
        <w:rPr>
          <w:rStyle w:val="FootnoteReference"/>
        </w:rPr>
        <w:footnoteReference w:id="33"/>
      </w:r>
      <w:r>
        <w:t>.</w:t>
      </w:r>
    </w:p>
    <w:p w14:paraId="21311340" w14:textId="77777777" w:rsidR="0067540E" w:rsidRDefault="0067540E" w:rsidP="0067540E">
      <w:pPr>
        <w:pStyle w:val="ListParagraph"/>
        <w:numPr>
          <w:ilvl w:val="0"/>
          <w:numId w:val="12"/>
        </w:numPr>
      </w:pPr>
      <w:r>
        <w:t>Continue to develop ULEV and ZEV vehicles in our own fleet.</w:t>
      </w:r>
    </w:p>
    <w:p w14:paraId="72BC47D4" w14:textId="77777777" w:rsidR="0067540E" w:rsidRDefault="0067540E" w:rsidP="0067540E">
      <w:pPr>
        <w:pStyle w:val="ListParagraph"/>
        <w:numPr>
          <w:ilvl w:val="0"/>
          <w:numId w:val="12"/>
        </w:numPr>
      </w:pPr>
      <w:r>
        <w:t>Work to deliver a pilot pool car fleet for CDC to include ULEV and ZEV vehicles</w:t>
      </w:r>
      <w:r w:rsidR="0085650C">
        <w:t>.</w:t>
      </w:r>
    </w:p>
    <w:p w14:paraId="3C1C7817" w14:textId="77777777" w:rsidR="0067540E" w:rsidRDefault="0067540E" w:rsidP="0067540E">
      <w:pPr>
        <w:pStyle w:val="ListParagraph"/>
        <w:numPr>
          <w:ilvl w:val="0"/>
          <w:numId w:val="12"/>
        </w:numPr>
      </w:pPr>
      <w:r>
        <w:t xml:space="preserve">Promote the development of ULEV and ZEV car clubs across the district. </w:t>
      </w:r>
    </w:p>
    <w:p w14:paraId="2B37EFBC" w14:textId="77777777" w:rsidR="0067540E" w:rsidRDefault="00FE7FD5" w:rsidP="0067540E">
      <w:pPr>
        <w:pStyle w:val="ListParagraph"/>
        <w:numPr>
          <w:ilvl w:val="0"/>
          <w:numId w:val="12"/>
        </w:numPr>
      </w:pPr>
      <w:r>
        <w:t>Promote the understanding of EVs for businesses in the district</w:t>
      </w:r>
    </w:p>
    <w:p w14:paraId="1BF4CFEC" w14:textId="77777777" w:rsidR="00513BB2" w:rsidRDefault="00513BB2" w:rsidP="0067540E">
      <w:pPr>
        <w:pStyle w:val="ListParagraph"/>
        <w:numPr>
          <w:ilvl w:val="0"/>
          <w:numId w:val="12"/>
        </w:numPr>
      </w:pPr>
      <w:r>
        <w:t>Seek to understand the impact of ZEVs on air quality in Chichester and Midhurst.</w:t>
      </w:r>
    </w:p>
    <w:p w14:paraId="19D9554C" w14:textId="77777777" w:rsidR="000D18CD" w:rsidRDefault="000D18CD">
      <w:r w:rsidRPr="000D18CD">
        <w:rPr>
          <w:b/>
        </w:rPr>
        <w:lastRenderedPageBreak/>
        <w:t>Theme 3: Planning for sustainable transport</w:t>
      </w:r>
      <w:r>
        <w:t xml:space="preserve"> </w:t>
      </w:r>
    </w:p>
    <w:p w14:paraId="41A9FFCE" w14:textId="693B519B" w:rsidR="007D582A" w:rsidRDefault="000D18CD">
      <w:r>
        <w:t xml:space="preserve">New development provides </w:t>
      </w:r>
      <w:r w:rsidR="0099345A">
        <w:t xml:space="preserve">the </w:t>
      </w:r>
      <w:r>
        <w:t>opportunity to support sustainable transport both through the form of the development and new infrastructure. This provides the opportunity to use Community Infrastructure Levy (CIL) and Section 106 agreement</w:t>
      </w:r>
      <w:r w:rsidR="003B4B91">
        <w:t xml:space="preserve"> funding</w:t>
      </w:r>
      <w:r>
        <w:t xml:space="preserve"> to support wider sustainable and low emission transport projects. </w:t>
      </w:r>
    </w:p>
    <w:p w14:paraId="31C74858" w14:textId="77777777" w:rsidR="00BB47E9" w:rsidRDefault="00F027C5" w:rsidP="00F027C5">
      <w:pPr>
        <w:spacing w:after="0" w:line="240" w:lineRule="auto"/>
      </w:pPr>
      <w:r>
        <w:t>We will seek to strengthen the use of the planning system to further reduce transport emissions as follows:</w:t>
      </w:r>
    </w:p>
    <w:p w14:paraId="452F2EE3" w14:textId="77777777" w:rsidR="00F027C5" w:rsidRDefault="00F027C5" w:rsidP="00F027C5">
      <w:pPr>
        <w:pStyle w:val="ListParagraph"/>
        <w:numPr>
          <w:ilvl w:val="0"/>
          <w:numId w:val="13"/>
        </w:numPr>
        <w:spacing w:after="0"/>
      </w:pPr>
      <w:r>
        <w:t>Ensure that air quality assessments for new development are appropriate and robust.</w:t>
      </w:r>
    </w:p>
    <w:p w14:paraId="3E2688EA" w14:textId="23B69515" w:rsidR="00F027C5" w:rsidRDefault="00F027C5" w:rsidP="00F027C5">
      <w:pPr>
        <w:pStyle w:val="ListParagraph"/>
        <w:numPr>
          <w:ilvl w:val="0"/>
          <w:numId w:val="13"/>
        </w:numPr>
        <w:spacing w:after="0"/>
      </w:pPr>
      <w:r>
        <w:t xml:space="preserve">Work with our planning policy </w:t>
      </w:r>
      <w:r w:rsidR="003B4B91">
        <w:t xml:space="preserve">team </w:t>
      </w:r>
      <w:r>
        <w:t>to incorporate robust policies and supporting documentation that encourage the delivery of development that considers and responds to air quality issues and challenges.</w:t>
      </w:r>
    </w:p>
    <w:p w14:paraId="675F59AA" w14:textId="77777777" w:rsidR="00F027C5" w:rsidRDefault="00F027C5" w:rsidP="00F027C5">
      <w:pPr>
        <w:pStyle w:val="ListParagraph"/>
        <w:numPr>
          <w:ilvl w:val="0"/>
          <w:numId w:val="13"/>
        </w:numPr>
        <w:spacing w:after="0"/>
      </w:pPr>
      <w:r>
        <w:t>Explore policy measures that require developers to provide investments in and contributions to the delivery of low emission transport projects and measures to off-set emissions both on and off of development sites.</w:t>
      </w:r>
    </w:p>
    <w:p w14:paraId="4FFFB4BC" w14:textId="77777777" w:rsidR="00F027C5" w:rsidRDefault="00F027C5" w:rsidP="00F027C5">
      <w:pPr>
        <w:pStyle w:val="ListParagraph"/>
        <w:numPr>
          <w:ilvl w:val="0"/>
          <w:numId w:val="13"/>
        </w:numPr>
        <w:spacing w:after="0"/>
      </w:pPr>
      <w:r>
        <w:t xml:space="preserve">Seek to associate a GIS layer of aspirational walking and cycle routes with a sustainable transport policy in the Revised Local Plan. The GIS layer will </w:t>
      </w:r>
      <w:r w:rsidR="001E657D">
        <w:t xml:space="preserve">contain routes from CDC and WSCC’s LCWIPs as well as schemes described by WSCC’s Sustainable Transport Package and Local Transport Infrastructure Plan. </w:t>
      </w:r>
    </w:p>
    <w:p w14:paraId="1FC5724E" w14:textId="77777777" w:rsidR="009608F3" w:rsidRDefault="009608F3" w:rsidP="00F027C5">
      <w:pPr>
        <w:pStyle w:val="ListParagraph"/>
        <w:numPr>
          <w:ilvl w:val="0"/>
          <w:numId w:val="13"/>
        </w:numPr>
        <w:spacing w:after="0"/>
      </w:pPr>
      <w:r>
        <w:t xml:space="preserve">WSCC are in the early stages of rewriting the </w:t>
      </w:r>
      <w:r w:rsidR="009567FE">
        <w:t xml:space="preserve">West Sussex </w:t>
      </w:r>
      <w:r>
        <w:t>Transport Plan. In conjunction with Sussex-air we will seek to embed air quality policy and considerations within that document and the policies therein.</w:t>
      </w:r>
    </w:p>
    <w:p w14:paraId="74BEE44A" w14:textId="77777777" w:rsidR="001E657D" w:rsidRDefault="001E657D" w:rsidP="001E657D">
      <w:pPr>
        <w:pStyle w:val="ListParagraph"/>
        <w:spacing w:after="0"/>
      </w:pPr>
    </w:p>
    <w:p w14:paraId="5A48CF6F" w14:textId="77777777" w:rsidR="000D18CD" w:rsidRPr="000D18CD" w:rsidRDefault="000D18CD">
      <w:pPr>
        <w:rPr>
          <w:b/>
        </w:rPr>
      </w:pPr>
      <w:r w:rsidRPr="000D18CD">
        <w:rPr>
          <w:b/>
        </w:rPr>
        <w:t xml:space="preserve">Theme </w:t>
      </w:r>
      <w:r>
        <w:rPr>
          <w:b/>
        </w:rPr>
        <w:t>4</w:t>
      </w:r>
      <w:r w:rsidRPr="000D18CD">
        <w:rPr>
          <w:b/>
        </w:rPr>
        <w:t xml:space="preserve">: Managing the Council's own transport emissions </w:t>
      </w:r>
    </w:p>
    <w:p w14:paraId="364ACC89" w14:textId="77777777" w:rsidR="000D18CD" w:rsidRDefault="000D18CD" w:rsidP="001E657D">
      <w:pPr>
        <w:spacing w:after="0"/>
      </w:pPr>
      <w:r>
        <w:t>The Council must lead by example by reducing emissions from our own transport activities with regards to fleet vehicles, business travel and contracted transport services and deliveries.</w:t>
      </w:r>
    </w:p>
    <w:p w14:paraId="6E957D3B" w14:textId="77777777" w:rsidR="001E657D" w:rsidRDefault="0085740F" w:rsidP="001E657D">
      <w:pPr>
        <w:pStyle w:val="ListParagraph"/>
        <w:numPr>
          <w:ilvl w:val="0"/>
          <w:numId w:val="14"/>
        </w:numPr>
        <w:spacing w:after="0"/>
      </w:pPr>
      <w:r>
        <w:t>We will continue to work to implement our policy that ‘all new council cars and vans shall be electric unless there is a business case as to why not’.</w:t>
      </w:r>
    </w:p>
    <w:p w14:paraId="77F23BFD" w14:textId="77777777" w:rsidR="0085740F" w:rsidRDefault="0085740F" w:rsidP="001E657D">
      <w:pPr>
        <w:pStyle w:val="ListParagraph"/>
        <w:numPr>
          <w:ilvl w:val="0"/>
          <w:numId w:val="14"/>
        </w:numPr>
        <w:spacing w:after="0"/>
      </w:pPr>
      <w:r>
        <w:t>Continue to assess our fleet in terms of mileage management and efficient routing of vehicle movements.</w:t>
      </w:r>
    </w:p>
    <w:p w14:paraId="22F446FB" w14:textId="77777777" w:rsidR="0085740F" w:rsidRDefault="002F2C2E" w:rsidP="001E657D">
      <w:pPr>
        <w:pStyle w:val="ListParagraph"/>
        <w:numPr>
          <w:ilvl w:val="0"/>
          <w:numId w:val="14"/>
        </w:numPr>
        <w:spacing w:after="0"/>
      </w:pPr>
      <w:r>
        <w:t>Tackle CDC grey-fleet mileage through d</w:t>
      </w:r>
      <w:r w:rsidR="00BB5163">
        <w:t>eliver</w:t>
      </w:r>
      <w:r>
        <w:t>y of</w:t>
      </w:r>
      <w:r w:rsidR="00BB5163">
        <w:t xml:space="preserve"> a</w:t>
      </w:r>
      <w:r>
        <w:t>n</w:t>
      </w:r>
      <w:r w:rsidR="00BB5163">
        <w:t xml:space="preserve"> ULEV and EV pool car fleet for staff business mileage with a view to expanding the fleet after evaluation of the pilot project.</w:t>
      </w:r>
    </w:p>
    <w:p w14:paraId="1053DE95" w14:textId="77777777" w:rsidR="00BB5163" w:rsidRDefault="00BB5163" w:rsidP="001E657D">
      <w:pPr>
        <w:pStyle w:val="ListParagraph"/>
        <w:numPr>
          <w:ilvl w:val="0"/>
          <w:numId w:val="14"/>
        </w:numPr>
        <w:spacing w:after="0"/>
      </w:pPr>
      <w:r>
        <w:t>Encourage staff travel to and from work to be by the most sustainable means through the provision of the Easit scheme and offering the staff benefit of vehicle leasing which most encourages the take up of EVs.</w:t>
      </w:r>
    </w:p>
    <w:p w14:paraId="7C8EB3F8" w14:textId="77777777" w:rsidR="0085650C" w:rsidRDefault="0085650C" w:rsidP="001E657D">
      <w:pPr>
        <w:pStyle w:val="ListParagraph"/>
        <w:numPr>
          <w:ilvl w:val="0"/>
          <w:numId w:val="14"/>
        </w:numPr>
        <w:spacing w:after="0"/>
      </w:pPr>
      <w:r>
        <w:t>Deliver a small fleet of electric bikes equipped such that staff can make work related journeys on them.</w:t>
      </w:r>
    </w:p>
    <w:p w14:paraId="099B39FE" w14:textId="77777777" w:rsidR="001E657D" w:rsidRDefault="001E657D" w:rsidP="001E657D">
      <w:pPr>
        <w:spacing w:after="0"/>
        <w:rPr>
          <w:b/>
        </w:rPr>
      </w:pPr>
    </w:p>
    <w:p w14:paraId="230C735B" w14:textId="77777777" w:rsidR="000D18CD" w:rsidRDefault="000D18CD">
      <w:r w:rsidRPr="000D18CD">
        <w:rPr>
          <w:b/>
        </w:rPr>
        <w:t>Theme 5: Developing partnerships and public education</w:t>
      </w:r>
      <w:r>
        <w:t xml:space="preserve"> </w:t>
      </w:r>
    </w:p>
    <w:p w14:paraId="2FB238BC" w14:textId="4CD0085D" w:rsidR="000D18CD" w:rsidRDefault="000D18CD">
      <w:r>
        <w:t xml:space="preserve">By working with key stakeholders we can consider partnerships to share resources and develop wider strategies to deliver greater benefits. </w:t>
      </w:r>
      <w:r w:rsidR="00B42903">
        <w:t xml:space="preserve">We believe that there is the </w:t>
      </w:r>
      <w:r>
        <w:t>willingness by the public to engage in actions to reduce emissions</w:t>
      </w:r>
      <w:r w:rsidR="00EE2540">
        <w:t xml:space="preserve"> and CDC relies on partnerships to widen its reach and the possibility of success</w:t>
      </w:r>
      <w:r w:rsidR="00B42903">
        <w:t xml:space="preserve">. </w:t>
      </w:r>
    </w:p>
    <w:p w14:paraId="6337537F" w14:textId="77777777" w:rsidR="00BB5163" w:rsidRDefault="00EE2540" w:rsidP="00EE2540">
      <w:pPr>
        <w:spacing w:after="0"/>
      </w:pPr>
      <w:r>
        <w:lastRenderedPageBreak/>
        <w:t xml:space="preserve">To foster a partnership approach </w:t>
      </w:r>
      <w:r w:rsidR="0085650C">
        <w:t xml:space="preserve">and target our messaging </w:t>
      </w:r>
      <w:r>
        <w:t>we will:</w:t>
      </w:r>
    </w:p>
    <w:p w14:paraId="5C8B08C0" w14:textId="77777777" w:rsidR="0085650C" w:rsidRDefault="0085650C" w:rsidP="00EE2540">
      <w:pPr>
        <w:pStyle w:val="ListParagraph"/>
        <w:numPr>
          <w:ilvl w:val="0"/>
          <w:numId w:val="17"/>
        </w:numPr>
      </w:pPr>
      <w:r>
        <w:t>Write a communications plan for air quality.</w:t>
      </w:r>
    </w:p>
    <w:p w14:paraId="5CDB90E1" w14:textId="77777777" w:rsidR="0085650C" w:rsidRDefault="0085650C" w:rsidP="00EE2540">
      <w:pPr>
        <w:pStyle w:val="ListParagraph"/>
        <w:numPr>
          <w:ilvl w:val="0"/>
          <w:numId w:val="17"/>
        </w:numPr>
      </w:pPr>
      <w:r>
        <w:t>Consider anti-idling campaigns at locations such as railway level crossings</w:t>
      </w:r>
      <w:r w:rsidR="00EA04AD">
        <w:t>,</w:t>
      </w:r>
      <w:r>
        <w:t xml:space="preserve"> school gates</w:t>
      </w:r>
      <w:r w:rsidR="00EA04AD">
        <w:t xml:space="preserve"> and bus</w:t>
      </w:r>
      <w:r w:rsidR="009567FE">
        <w:t>/coach</w:t>
      </w:r>
      <w:r w:rsidR="00EA04AD">
        <w:t>-stops</w:t>
      </w:r>
      <w:r w:rsidR="00EA04AD">
        <w:rPr>
          <w:rStyle w:val="FootnoteReference"/>
        </w:rPr>
        <w:footnoteReference w:id="34"/>
      </w:r>
      <w:r>
        <w:t>.</w:t>
      </w:r>
    </w:p>
    <w:p w14:paraId="6E51ED7D" w14:textId="77777777" w:rsidR="009567FE" w:rsidRDefault="009567FE" w:rsidP="00EE2540">
      <w:pPr>
        <w:pStyle w:val="ListParagraph"/>
        <w:numPr>
          <w:ilvl w:val="0"/>
          <w:numId w:val="17"/>
        </w:numPr>
      </w:pPr>
      <w:r>
        <w:t>Work with WSCC to promote the incorporation of stop / start technology on buses.</w:t>
      </w:r>
    </w:p>
    <w:p w14:paraId="5810C7E0" w14:textId="77777777" w:rsidR="00EE2540" w:rsidRDefault="00EE2540" w:rsidP="00EE2540">
      <w:pPr>
        <w:pStyle w:val="ListParagraph"/>
        <w:numPr>
          <w:ilvl w:val="0"/>
          <w:numId w:val="17"/>
        </w:numPr>
      </w:pPr>
      <w:r>
        <w:t>Continue to be an active member of the pan-Sussex Sussex-air group of local authorities and academics</w:t>
      </w:r>
      <w:r w:rsidR="00891691">
        <w:t>.</w:t>
      </w:r>
    </w:p>
    <w:p w14:paraId="16D0B2C5" w14:textId="6129D0DF" w:rsidR="00891691" w:rsidRDefault="00891691" w:rsidP="00EE2540">
      <w:pPr>
        <w:pStyle w:val="ListParagraph"/>
        <w:numPr>
          <w:ilvl w:val="0"/>
          <w:numId w:val="17"/>
        </w:numPr>
      </w:pPr>
      <w:r>
        <w:t xml:space="preserve">Continue to attend and participate in </w:t>
      </w:r>
      <w:r w:rsidR="005D48B8">
        <w:t xml:space="preserve">any </w:t>
      </w:r>
      <w:r>
        <w:t xml:space="preserve">WSCC </w:t>
      </w:r>
      <w:r w:rsidR="005D48B8">
        <w:t>hosted working groups.</w:t>
      </w:r>
    </w:p>
    <w:p w14:paraId="5F66F39A" w14:textId="77777777" w:rsidR="00891691" w:rsidRDefault="00565DB5" w:rsidP="00EE2540">
      <w:pPr>
        <w:pStyle w:val="ListParagraph"/>
        <w:numPr>
          <w:ilvl w:val="0"/>
          <w:numId w:val="17"/>
        </w:numPr>
      </w:pPr>
      <w:r>
        <w:t>Continue to attend the Chichester and District Cycle Forum.</w:t>
      </w:r>
    </w:p>
    <w:p w14:paraId="0B9C3217" w14:textId="77777777" w:rsidR="004A43B0" w:rsidRDefault="004A43B0" w:rsidP="00EE2540">
      <w:pPr>
        <w:pStyle w:val="ListParagraph"/>
        <w:numPr>
          <w:ilvl w:val="0"/>
          <w:numId w:val="17"/>
        </w:numPr>
      </w:pPr>
      <w:r>
        <w:t>Continue to support the Sussex-air ‘Air-alert’ pollution warning system.</w:t>
      </w:r>
    </w:p>
    <w:p w14:paraId="023A595A" w14:textId="77777777" w:rsidR="00565DB5" w:rsidRDefault="00565DB5" w:rsidP="00EE2540">
      <w:pPr>
        <w:pStyle w:val="ListParagraph"/>
        <w:numPr>
          <w:ilvl w:val="0"/>
          <w:numId w:val="17"/>
        </w:numPr>
      </w:pPr>
      <w:r>
        <w:t>Consider invites to new partnership meetings with relevance to transport emissions.</w:t>
      </w:r>
    </w:p>
    <w:p w14:paraId="13827FA1" w14:textId="77777777" w:rsidR="00D260CB" w:rsidRDefault="00D260CB" w:rsidP="00EE2540">
      <w:pPr>
        <w:pStyle w:val="ListParagraph"/>
        <w:numPr>
          <w:ilvl w:val="0"/>
          <w:numId w:val="17"/>
        </w:numPr>
      </w:pPr>
      <w:r>
        <w:t>In partnership with WSCC consider support for Play Streets</w:t>
      </w:r>
    </w:p>
    <w:p w14:paraId="1067043B" w14:textId="77777777" w:rsidR="00EE2540" w:rsidRDefault="00911EE9" w:rsidP="00EE2540">
      <w:pPr>
        <w:spacing w:after="0" w:line="240" w:lineRule="auto"/>
      </w:pPr>
      <w:r>
        <w:rPr>
          <w:b/>
        </w:rPr>
        <w:t>Theme 6: Miscellaneous projects</w:t>
      </w:r>
    </w:p>
    <w:p w14:paraId="5B1A1383" w14:textId="77777777" w:rsidR="00911EE9" w:rsidRPr="00911EE9" w:rsidRDefault="00911EE9" w:rsidP="00EE2540">
      <w:pPr>
        <w:spacing w:after="0" w:line="240" w:lineRule="auto"/>
      </w:pPr>
    </w:p>
    <w:p w14:paraId="126B7EC1" w14:textId="77777777" w:rsidR="00911EE9" w:rsidRDefault="00911EE9" w:rsidP="00EE2540">
      <w:pPr>
        <w:spacing w:after="0" w:line="240" w:lineRule="auto"/>
      </w:pPr>
      <w:r>
        <w:t xml:space="preserve">In speaking to councillors and other key interested parties we have received many ideas as to how we might improve air quality. </w:t>
      </w:r>
    </w:p>
    <w:p w14:paraId="40EA76BF" w14:textId="77777777" w:rsidR="00911EE9" w:rsidRDefault="00911EE9" w:rsidP="00EE2540">
      <w:pPr>
        <w:spacing w:after="0" w:line="240" w:lineRule="auto"/>
      </w:pPr>
    </w:p>
    <w:p w14:paraId="7DDA65E9" w14:textId="77777777" w:rsidR="00911EE9" w:rsidRDefault="00911EE9" w:rsidP="00911EE9">
      <w:pPr>
        <w:pStyle w:val="ListParagraph"/>
        <w:numPr>
          <w:ilvl w:val="0"/>
          <w:numId w:val="19"/>
        </w:numPr>
        <w:spacing w:after="0" w:line="240" w:lineRule="auto"/>
      </w:pPr>
      <w:r>
        <w:t>Consider declaring Smoke Control Areas which would allow for regulatory oversight for the quality of firewood and stoves being sold. This mainly relates to tackling particulate emissions.</w:t>
      </w:r>
    </w:p>
    <w:p w14:paraId="3E848465" w14:textId="77777777" w:rsidR="00EA04AD" w:rsidRDefault="00EA04AD" w:rsidP="00911EE9">
      <w:pPr>
        <w:pStyle w:val="ListParagraph"/>
        <w:numPr>
          <w:ilvl w:val="0"/>
          <w:numId w:val="19"/>
        </w:numPr>
        <w:spacing w:after="0" w:line="240" w:lineRule="auto"/>
      </w:pPr>
      <w:r>
        <w:t>To include in the Communications Plan for Air Quality a specific thread on domestic burning, bonfires, fire-pits, open-fires and wood burners.</w:t>
      </w:r>
    </w:p>
    <w:p w14:paraId="7CD7EE21" w14:textId="77777777" w:rsidR="00911EE9" w:rsidRDefault="00911EE9" w:rsidP="00911EE9">
      <w:pPr>
        <w:pStyle w:val="ListParagraph"/>
        <w:numPr>
          <w:ilvl w:val="0"/>
          <w:numId w:val="19"/>
        </w:numPr>
        <w:spacing w:after="0" w:line="240" w:lineRule="auto"/>
      </w:pPr>
      <w:r>
        <w:t xml:space="preserve">Greening the council’s procurement policy. In procuring goods and services the council must </w:t>
      </w:r>
      <w:r w:rsidR="0085650C">
        <w:t>demonstrate ‘best value’ in its use of public money. Nevertheless ‘green’ related considerations can be considered through the quality considerations of procurement.</w:t>
      </w:r>
    </w:p>
    <w:p w14:paraId="02D76738" w14:textId="77777777" w:rsidR="0085650C" w:rsidRDefault="0085650C" w:rsidP="00911EE9">
      <w:pPr>
        <w:pStyle w:val="ListParagraph"/>
        <w:numPr>
          <w:ilvl w:val="0"/>
          <w:numId w:val="19"/>
        </w:numPr>
        <w:spacing w:after="0" w:line="240" w:lineRule="auto"/>
      </w:pPr>
      <w:r>
        <w:t xml:space="preserve">Consider green walls and tree planting to help improve air quality. </w:t>
      </w:r>
    </w:p>
    <w:p w14:paraId="1C9F934E" w14:textId="77777777" w:rsidR="007D582A" w:rsidRDefault="007D582A" w:rsidP="002F6159">
      <w:pPr>
        <w:pStyle w:val="Heading1"/>
        <w:numPr>
          <w:ilvl w:val="0"/>
          <w:numId w:val="25"/>
        </w:numPr>
      </w:pPr>
      <w:bookmarkStart w:id="41" w:name="_Toc96511391"/>
      <w:r>
        <w:t>Priorities for Action</w:t>
      </w:r>
      <w:bookmarkEnd w:id="41"/>
    </w:p>
    <w:p w14:paraId="30E2E783" w14:textId="77777777" w:rsidR="002F6159" w:rsidRDefault="002F6159"/>
    <w:p w14:paraId="0BD864B6" w14:textId="410D2D12" w:rsidR="00EB15D1" w:rsidRDefault="002F6159">
      <w:r>
        <w:t xml:space="preserve">The following tables expand on the broad ideas for actions as set out above. </w:t>
      </w:r>
      <w:r w:rsidR="003B4B91">
        <w:t xml:space="preserve">Proposed </w:t>
      </w:r>
      <w:r>
        <w:t xml:space="preserve">actions </w:t>
      </w:r>
      <w:r w:rsidR="003B4B91">
        <w:t xml:space="preserve">are highlighted together with </w:t>
      </w:r>
      <w:r>
        <w:t>those which are already in progress</w:t>
      </w:r>
      <w:r w:rsidR="00342BAF">
        <w:t xml:space="preserve"> and/or partially delivered. The majority of all air quality actions for all authorities are </w:t>
      </w:r>
      <w:r w:rsidR="00EB15D1">
        <w:t>subject to funding</w:t>
      </w:r>
      <w:r w:rsidR="00342BAF">
        <w:t>.</w:t>
      </w:r>
      <w:r w:rsidR="00EB15D1">
        <w:t xml:space="preserve"> As such our list of actions is not prioritised. In our experience the implementation of air quality action is driven by the availability of external grant monies which do not accord with locally set priorities. Once this Plan is adopted then the inclusion of the action</w:t>
      </w:r>
      <w:r w:rsidR="003B4B91">
        <w:t>s</w:t>
      </w:r>
      <w:r w:rsidR="00EB15D1">
        <w:t xml:space="preserve"> as described below facilitate the Council to seek grant money as and when relevant monies become available.</w:t>
      </w:r>
      <w:r w:rsidR="00454272">
        <w:t xml:space="preserve"> The Council has had some success in accessing grant monies and so we believe that progress toward delivery of the actions below, over the Plan period, is realistic and deliverable.</w:t>
      </w:r>
    </w:p>
    <w:p w14:paraId="079C3E9C" w14:textId="52FFD10E" w:rsidR="007A2194" w:rsidRDefault="00EB15D1">
      <w:r>
        <w:t xml:space="preserve">Notwithstanding the above the modelling </w:t>
      </w:r>
      <w:r w:rsidR="00EA49A7">
        <w:t xml:space="preserve">(summarised at 12 above) points to the importance of upgrading the </w:t>
      </w:r>
      <w:r w:rsidR="005D48B8">
        <w:t xml:space="preserve">Euro standard of the </w:t>
      </w:r>
      <w:r w:rsidR="00EA49A7">
        <w:t>buses and the continued development and expansion of our LCWIP remain of the highest importance to take forwards as finance allows.</w:t>
      </w:r>
    </w:p>
    <w:p w14:paraId="101AABC2" w14:textId="77777777" w:rsidR="00A7282B" w:rsidRDefault="007A2194">
      <w:pPr>
        <w:sectPr w:rsidR="00A7282B">
          <w:headerReference w:type="default" r:id="rId39"/>
          <w:footerReference w:type="default" r:id="rId40"/>
          <w:pgSz w:w="11906" w:h="16838"/>
          <w:pgMar w:top="1440" w:right="1440" w:bottom="1440" w:left="1440" w:header="708" w:footer="708" w:gutter="0"/>
          <w:cols w:space="708"/>
          <w:docGrid w:linePitch="360"/>
        </w:sectPr>
      </w:pPr>
      <w:r>
        <w:lastRenderedPageBreak/>
        <w:t>Note: monitoring air quality is not mentioned in the action planning tables as below. Nevertheless, subject to the changes suggested in the pages above, air quality monitoring will continue across the district across the period of the AQAP.</w:t>
      </w:r>
      <w:r w:rsidR="00A7282B">
        <w:br w:type="page"/>
      </w:r>
    </w:p>
    <w:p w14:paraId="6A3BF715" w14:textId="77777777" w:rsidR="00A7282B" w:rsidRDefault="00AA7001">
      <w:r w:rsidRPr="00AA7001">
        <w:rPr>
          <w:noProof/>
          <w:lang w:eastAsia="en-GB"/>
        </w:rPr>
        <w:lastRenderedPageBreak/>
        <w:drawing>
          <wp:inline distT="0" distB="0" distL="0" distR="0" wp14:anchorId="178F46AD" wp14:editId="28FD7114">
            <wp:extent cx="8863330" cy="5760154"/>
            <wp:effectExtent l="0" t="0" r="0" b="0"/>
            <wp:docPr id="7" name="Picture 7" descr="Pollution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ollution Table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63330" cy="5760154"/>
                    </a:xfrm>
                    <a:prstGeom prst="rect">
                      <a:avLst/>
                    </a:prstGeom>
                    <a:noFill/>
                    <a:ln>
                      <a:noFill/>
                    </a:ln>
                  </pic:spPr>
                </pic:pic>
              </a:graphicData>
            </a:graphic>
          </wp:inline>
        </w:drawing>
      </w:r>
    </w:p>
    <w:p w14:paraId="1982D705" w14:textId="77777777" w:rsidR="00A7282B" w:rsidRDefault="00950B17">
      <w:r w:rsidRPr="00950B17">
        <w:rPr>
          <w:noProof/>
          <w:lang w:eastAsia="en-GB"/>
        </w:rPr>
        <w:lastRenderedPageBreak/>
        <w:drawing>
          <wp:inline distT="0" distB="0" distL="0" distR="0" wp14:anchorId="3324824D" wp14:editId="4D10B76A">
            <wp:extent cx="8863330" cy="4794899"/>
            <wp:effectExtent l="0" t="0" r="0" b="5715"/>
            <wp:docPr id="6" name="Picture 6" descr="Pollution table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ollution table continu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63330" cy="4794899"/>
                    </a:xfrm>
                    <a:prstGeom prst="rect">
                      <a:avLst/>
                    </a:prstGeom>
                    <a:noFill/>
                    <a:ln>
                      <a:noFill/>
                    </a:ln>
                  </pic:spPr>
                </pic:pic>
              </a:graphicData>
            </a:graphic>
          </wp:inline>
        </w:drawing>
      </w:r>
    </w:p>
    <w:p w14:paraId="4B7F8DFE" w14:textId="77777777" w:rsidR="00A7282B" w:rsidRDefault="00AA7001">
      <w:r w:rsidRPr="00AA7001">
        <w:rPr>
          <w:noProof/>
          <w:lang w:eastAsia="en-GB"/>
        </w:rPr>
        <w:lastRenderedPageBreak/>
        <w:drawing>
          <wp:inline distT="0" distB="0" distL="0" distR="0" wp14:anchorId="2997DAAB" wp14:editId="61E699AD">
            <wp:extent cx="8863330" cy="1518349"/>
            <wp:effectExtent l="0" t="0" r="0" b="5715"/>
            <wp:docPr id="25" name="Picture 25" descr="Pollution table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ollution table continu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63330" cy="1518349"/>
                    </a:xfrm>
                    <a:prstGeom prst="rect">
                      <a:avLst/>
                    </a:prstGeom>
                    <a:noFill/>
                    <a:ln>
                      <a:noFill/>
                    </a:ln>
                  </pic:spPr>
                </pic:pic>
              </a:graphicData>
            </a:graphic>
          </wp:inline>
        </w:drawing>
      </w:r>
    </w:p>
    <w:p w14:paraId="7777256F" w14:textId="77777777" w:rsidR="00A7282B" w:rsidRDefault="00A7282B"/>
    <w:p w14:paraId="30E3FD33" w14:textId="77777777" w:rsidR="00A7282B" w:rsidRDefault="00A7282B"/>
    <w:p w14:paraId="35755A54" w14:textId="77777777" w:rsidR="00A7282B" w:rsidRDefault="00A7282B"/>
    <w:p w14:paraId="72172952" w14:textId="77777777" w:rsidR="00A7282B" w:rsidRDefault="00A7282B"/>
    <w:p w14:paraId="7D9922B3" w14:textId="77777777" w:rsidR="00A7282B" w:rsidRDefault="00A7282B"/>
    <w:p w14:paraId="76D52D3A" w14:textId="77777777" w:rsidR="00A7282B" w:rsidRDefault="00A7282B"/>
    <w:p w14:paraId="6B35022E" w14:textId="77777777" w:rsidR="00A7282B" w:rsidRDefault="00A7282B"/>
    <w:p w14:paraId="6BA17F24" w14:textId="77777777" w:rsidR="00A7282B" w:rsidRDefault="00A7282B"/>
    <w:p w14:paraId="2D977F97" w14:textId="77777777" w:rsidR="00A7282B" w:rsidRDefault="00A7282B"/>
    <w:p w14:paraId="280692E8" w14:textId="77777777" w:rsidR="00A7282B" w:rsidRDefault="00A7282B"/>
    <w:p w14:paraId="1F3E99F6" w14:textId="77777777" w:rsidR="00A7282B" w:rsidRDefault="00A7282B"/>
    <w:p w14:paraId="3FA53760" w14:textId="77777777" w:rsidR="00A7282B" w:rsidRDefault="00A7282B"/>
    <w:p w14:paraId="404A42E1" w14:textId="77777777" w:rsidR="00A7282B" w:rsidRDefault="00660440">
      <w:r w:rsidRPr="00660440">
        <w:rPr>
          <w:noProof/>
          <w:lang w:eastAsia="en-GB"/>
        </w:rPr>
        <w:lastRenderedPageBreak/>
        <w:drawing>
          <wp:inline distT="0" distB="0" distL="0" distR="0" wp14:anchorId="181450A1" wp14:editId="32BA6D05">
            <wp:extent cx="8863330" cy="4248719"/>
            <wp:effectExtent l="0" t="0" r="0" b="0"/>
            <wp:docPr id="8" name="Picture 8" descr="Pollution table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ollution table continu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63330" cy="4248719"/>
                    </a:xfrm>
                    <a:prstGeom prst="rect">
                      <a:avLst/>
                    </a:prstGeom>
                    <a:noFill/>
                    <a:ln>
                      <a:noFill/>
                    </a:ln>
                  </pic:spPr>
                </pic:pic>
              </a:graphicData>
            </a:graphic>
          </wp:inline>
        </w:drawing>
      </w:r>
    </w:p>
    <w:p w14:paraId="7BF485E1" w14:textId="77777777" w:rsidR="00A7282B" w:rsidRDefault="00A7282B"/>
    <w:p w14:paraId="6EC10844" w14:textId="77777777" w:rsidR="00A7282B" w:rsidRDefault="00A7282B"/>
    <w:p w14:paraId="7E66F888" w14:textId="77777777" w:rsidR="00AA7001" w:rsidRDefault="00AA7001">
      <w:r>
        <w:br w:type="page"/>
      </w:r>
    </w:p>
    <w:p w14:paraId="4F5985E5" w14:textId="77777777" w:rsidR="003520DE" w:rsidRDefault="003520DE">
      <w:r w:rsidRPr="003520DE">
        <w:rPr>
          <w:noProof/>
          <w:lang w:eastAsia="en-GB"/>
        </w:rPr>
        <w:lastRenderedPageBreak/>
        <w:drawing>
          <wp:inline distT="0" distB="0" distL="0" distR="0" wp14:anchorId="06B0835A" wp14:editId="5D0982F0">
            <wp:extent cx="8863330" cy="4115231"/>
            <wp:effectExtent l="0" t="0" r="0" b="0"/>
            <wp:docPr id="31" name="Picture 31" descr="Pollution table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ollution table continu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63330" cy="4115231"/>
                    </a:xfrm>
                    <a:prstGeom prst="rect">
                      <a:avLst/>
                    </a:prstGeom>
                    <a:noFill/>
                    <a:ln>
                      <a:noFill/>
                    </a:ln>
                  </pic:spPr>
                </pic:pic>
              </a:graphicData>
            </a:graphic>
          </wp:inline>
        </w:drawing>
      </w:r>
    </w:p>
    <w:p w14:paraId="38729236" w14:textId="77777777" w:rsidR="00AA7001" w:rsidRDefault="00AA7001">
      <w:r>
        <w:br w:type="page"/>
      </w:r>
    </w:p>
    <w:p w14:paraId="1E5FEA4D" w14:textId="3DD6E320" w:rsidR="003520DE" w:rsidRDefault="003520DE"/>
    <w:p w14:paraId="77D41C89" w14:textId="59A89B33" w:rsidR="00DE2182" w:rsidRDefault="00DE2182">
      <w:r w:rsidRPr="00DE2182">
        <w:rPr>
          <w:noProof/>
        </w:rPr>
        <w:drawing>
          <wp:inline distT="0" distB="0" distL="0" distR="0" wp14:anchorId="3456CEB7" wp14:editId="60114EB3">
            <wp:extent cx="8863330" cy="5005253"/>
            <wp:effectExtent l="0" t="0" r="0" b="5080"/>
            <wp:docPr id="22" name="Picture 22" descr="Pollution table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ollution table continu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63330" cy="5005253"/>
                    </a:xfrm>
                    <a:prstGeom prst="rect">
                      <a:avLst/>
                    </a:prstGeom>
                    <a:noFill/>
                    <a:ln>
                      <a:noFill/>
                    </a:ln>
                  </pic:spPr>
                </pic:pic>
              </a:graphicData>
            </a:graphic>
          </wp:inline>
        </w:drawing>
      </w:r>
    </w:p>
    <w:p w14:paraId="1F57B2C6" w14:textId="77777777" w:rsidR="00DE2182" w:rsidRDefault="00DE2182"/>
    <w:p w14:paraId="02722B47" w14:textId="77777777" w:rsidR="00DE2182" w:rsidRDefault="00DE2182"/>
    <w:p w14:paraId="25E5663E" w14:textId="0864A000" w:rsidR="00DE2182" w:rsidRDefault="00DE2182">
      <w:r w:rsidRPr="00DE2182">
        <w:rPr>
          <w:noProof/>
        </w:rPr>
        <w:drawing>
          <wp:inline distT="0" distB="0" distL="0" distR="0" wp14:anchorId="1A4A23E6" wp14:editId="74E13F26">
            <wp:extent cx="8863330" cy="675887"/>
            <wp:effectExtent l="0" t="0" r="0" b="0"/>
            <wp:docPr id="26" name="Picture 26" descr="Pollution table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ollution table continu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63330" cy="675887"/>
                    </a:xfrm>
                    <a:prstGeom prst="rect">
                      <a:avLst/>
                    </a:prstGeom>
                    <a:noFill/>
                    <a:ln>
                      <a:noFill/>
                    </a:ln>
                  </pic:spPr>
                </pic:pic>
              </a:graphicData>
            </a:graphic>
          </wp:inline>
        </w:drawing>
      </w:r>
    </w:p>
    <w:p w14:paraId="6C901836" w14:textId="4664C614" w:rsidR="00DE2182" w:rsidRDefault="00DE2182"/>
    <w:p w14:paraId="60AC46CA" w14:textId="3CB2631A" w:rsidR="003520DE" w:rsidRDefault="003520DE">
      <w:r>
        <w:br w:type="page"/>
      </w:r>
    </w:p>
    <w:p w14:paraId="4C24A3C6" w14:textId="24EDC27E" w:rsidR="003520DE" w:rsidRDefault="00401950">
      <w:r w:rsidRPr="00401950">
        <w:rPr>
          <w:noProof/>
        </w:rPr>
        <w:lastRenderedPageBreak/>
        <w:drawing>
          <wp:inline distT="0" distB="0" distL="0" distR="0" wp14:anchorId="6927F320" wp14:editId="477C0CAA">
            <wp:extent cx="8863330" cy="3569518"/>
            <wp:effectExtent l="0" t="0" r="0" b="0"/>
            <wp:docPr id="16" name="Picture 16" descr="Pollution table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ollution table continu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863330" cy="3569518"/>
                    </a:xfrm>
                    <a:prstGeom prst="rect">
                      <a:avLst/>
                    </a:prstGeom>
                    <a:noFill/>
                    <a:ln>
                      <a:noFill/>
                    </a:ln>
                  </pic:spPr>
                </pic:pic>
              </a:graphicData>
            </a:graphic>
          </wp:inline>
        </w:drawing>
      </w:r>
    </w:p>
    <w:p w14:paraId="34ABCE74" w14:textId="77777777" w:rsidR="003520DE" w:rsidRDefault="003520DE">
      <w:r>
        <w:br w:type="page"/>
      </w:r>
    </w:p>
    <w:p w14:paraId="3E1C04B8" w14:textId="77777777" w:rsidR="0012692B" w:rsidRDefault="0012692B">
      <w:pPr>
        <w:sectPr w:rsidR="0012692B" w:rsidSect="00A7282B">
          <w:pgSz w:w="16838" w:h="11906" w:orient="landscape"/>
          <w:pgMar w:top="1440" w:right="1440" w:bottom="1440" w:left="1440" w:header="708" w:footer="708" w:gutter="0"/>
          <w:cols w:space="708"/>
          <w:docGrid w:linePitch="360"/>
        </w:sectPr>
      </w:pPr>
    </w:p>
    <w:p w14:paraId="53EDD2BF" w14:textId="77777777" w:rsidR="00FE264D" w:rsidRPr="00FE264D" w:rsidRDefault="00FE264D" w:rsidP="000A57CF">
      <w:pPr>
        <w:rPr>
          <w:b/>
        </w:rPr>
      </w:pPr>
      <w:r w:rsidRPr="00FE264D">
        <w:rPr>
          <w:b/>
        </w:rPr>
        <w:lastRenderedPageBreak/>
        <w:t>Development and Implementation of Chichester District AQAP</w:t>
      </w:r>
      <w:r w:rsidR="000A57CF" w:rsidRPr="00FE264D">
        <w:rPr>
          <w:b/>
        </w:rPr>
        <w:t xml:space="preserve"> </w:t>
      </w:r>
    </w:p>
    <w:p w14:paraId="65BAC34C" w14:textId="3BF2FA8C" w:rsidR="00FE264D" w:rsidRDefault="00FE264D" w:rsidP="00FE264D">
      <w:pPr>
        <w:pStyle w:val="Appendix1"/>
        <w:spacing w:before="120" w:after="120"/>
        <w:rPr>
          <w:rFonts w:asciiTheme="minorHAnsi" w:eastAsiaTheme="minorHAnsi" w:hAnsiTheme="minorHAnsi" w:cstheme="minorBidi"/>
          <w:sz w:val="22"/>
          <w:szCs w:val="22"/>
        </w:rPr>
      </w:pPr>
      <w:r w:rsidRPr="00FE264D">
        <w:rPr>
          <w:rFonts w:asciiTheme="minorHAnsi" w:eastAsiaTheme="minorHAnsi" w:hAnsiTheme="minorHAnsi" w:cstheme="minorBidi"/>
          <w:sz w:val="22"/>
          <w:szCs w:val="22"/>
        </w:rPr>
        <w:t xml:space="preserve">In developing this </w:t>
      </w:r>
      <w:r>
        <w:rPr>
          <w:rFonts w:asciiTheme="minorHAnsi" w:eastAsiaTheme="minorHAnsi" w:hAnsiTheme="minorHAnsi" w:cstheme="minorBidi"/>
          <w:sz w:val="22"/>
          <w:szCs w:val="22"/>
        </w:rPr>
        <w:t xml:space="preserve">draft for consultation </w:t>
      </w:r>
      <w:r w:rsidRPr="00FE264D">
        <w:rPr>
          <w:rFonts w:asciiTheme="minorHAnsi" w:eastAsiaTheme="minorHAnsi" w:hAnsiTheme="minorHAnsi" w:cstheme="minorBidi"/>
          <w:sz w:val="22"/>
          <w:szCs w:val="22"/>
        </w:rPr>
        <w:t xml:space="preserve">AQAP, we have worked with </w:t>
      </w:r>
      <w:r>
        <w:rPr>
          <w:rFonts w:asciiTheme="minorHAnsi" w:eastAsiaTheme="minorHAnsi" w:hAnsiTheme="minorHAnsi" w:cstheme="minorBidi"/>
          <w:sz w:val="22"/>
          <w:szCs w:val="22"/>
        </w:rPr>
        <w:t xml:space="preserve">the </w:t>
      </w:r>
      <w:r w:rsidRPr="00FE264D">
        <w:rPr>
          <w:rFonts w:asciiTheme="minorHAnsi" w:eastAsiaTheme="minorHAnsi" w:hAnsiTheme="minorHAnsi" w:cstheme="minorBidi"/>
          <w:sz w:val="22"/>
          <w:szCs w:val="22"/>
        </w:rPr>
        <w:t>local authorities</w:t>
      </w:r>
      <w:r>
        <w:rPr>
          <w:rFonts w:asciiTheme="minorHAnsi" w:eastAsiaTheme="minorHAnsi" w:hAnsiTheme="minorHAnsi" w:cstheme="minorBidi"/>
          <w:sz w:val="22"/>
          <w:szCs w:val="22"/>
        </w:rPr>
        <w:t xml:space="preserve"> across East and West Sussex</w:t>
      </w:r>
      <w:r w:rsidRPr="00FE264D">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the Environment Agency</w:t>
      </w:r>
      <w:r w:rsidRPr="00FE264D">
        <w:rPr>
          <w:rFonts w:asciiTheme="minorHAnsi" w:eastAsiaTheme="minorHAnsi" w:hAnsiTheme="minorHAnsi" w:cstheme="minorBidi"/>
          <w:sz w:val="22"/>
          <w:szCs w:val="22"/>
        </w:rPr>
        <w:t>, to improve local air quality. Schedule 11 of the Environment Act 1995 requires local authorities to consult the bodies listed in</w:t>
      </w:r>
      <w:r w:rsidR="00A7282B">
        <w:rPr>
          <w:rFonts w:asciiTheme="minorHAnsi" w:eastAsiaTheme="minorHAnsi" w:hAnsiTheme="minorHAnsi" w:cstheme="minorBidi"/>
          <w:sz w:val="22"/>
          <w:szCs w:val="22"/>
        </w:rPr>
        <w:t xml:space="preserve"> Table </w:t>
      </w:r>
      <w:r w:rsidR="000A536E">
        <w:rPr>
          <w:rFonts w:asciiTheme="minorHAnsi" w:eastAsiaTheme="minorHAnsi" w:hAnsiTheme="minorHAnsi" w:cstheme="minorBidi"/>
          <w:sz w:val="22"/>
          <w:szCs w:val="22"/>
        </w:rPr>
        <w:t>13</w:t>
      </w:r>
      <w:r w:rsidR="00A7282B">
        <w:rPr>
          <w:rFonts w:asciiTheme="minorHAnsi" w:eastAsiaTheme="minorHAnsi" w:hAnsiTheme="minorHAnsi" w:cstheme="minorBidi"/>
          <w:sz w:val="22"/>
          <w:szCs w:val="22"/>
        </w:rPr>
        <w:t xml:space="preserve"> below. </w:t>
      </w:r>
      <w:r w:rsidRPr="00FE264D">
        <w:rPr>
          <w:rFonts w:asciiTheme="minorHAnsi" w:eastAsiaTheme="minorHAnsi" w:hAnsiTheme="minorHAnsi" w:cstheme="minorBidi"/>
          <w:sz w:val="22"/>
          <w:szCs w:val="22"/>
        </w:rPr>
        <w:t xml:space="preserve"> </w:t>
      </w:r>
    </w:p>
    <w:p w14:paraId="48E3399D" w14:textId="77777777" w:rsidR="00BB23A5" w:rsidRPr="00BB23A5" w:rsidRDefault="00BB23A5" w:rsidP="00BB23A5">
      <w:pPr>
        <w:pStyle w:val="Caption"/>
        <w:keepNext/>
        <w:spacing w:after="0"/>
        <w:rPr>
          <w:b w:val="0"/>
          <w:bCs w:val="0"/>
          <w:color w:val="auto"/>
          <w:sz w:val="22"/>
          <w:szCs w:val="22"/>
        </w:rPr>
      </w:pPr>
      <w:r w:rsidRPr="00BB23A5">
        <w:rPr>
          <w:bCs w:val="0"/>
          <w:color w:val="auto"/>
          <w:sz w:val="22"/>
          <w:szCs w:val="22"/>
        </w:rPr>
        <w:t xml:space="preserve">Table </w:t>
      </w:r>
      <w:r w:rsidRPr="00BB23A5">
        <w:rPr>
          <w:bCs w:val="0"/>
          <w:color w:val="auto"/>
          <w:sz w:val="22"/>
          <w:szCs w:val="22"/>
        </w:rPr>
        <w:fldChar w:fldCharType="begin"/>
      </w:r>
      <w:r w:rsidRPr="00BB23A5">
        <w:rPr>
          <w:bCs w:val="0"/>
          <w:color w:val="auto"/>
          <w:sz w:val="22"/>
          <w:szCs w:val="22"/>
        </w:rPr>
        <w:instrText xml:space="preserve"> SEQ Table \* ARABIC </w:instrText>
      </w:r>
      <w:r w:rsidRPr="00BB23A5">
        <w:rPr>
          <w:bCs w:val="0"/>
          <w:color w:val="auto"/>
          <w:sz w:val="22"/>
          <w:szCs w:val="22"/>
        </w:rPr>
        <w:fldChar w:fldCharType="separate"/>
      </w:r>
      <w:r w:rsidR="00947DF1">
        <w:rPr>
          <w:bCs w:val="0"/>
          <w:noProof/>
          <w:color w:val="auto"/>
          <w:sz w:val="22"/>
          <w:szCs w:val="22"/>
        </w:rPr>
        <w:t>13</w:t>
      </w:r>
      <w:r w:rsidRPr="00BB23A5">
        <w:rPr>
          <w:bCs w:val="0"/>
          <w:color w:val="auto"/>
          <w:sz w:val="22"/>
          <w:szCs w:val="22"/>
        </w:rPr>
        <w:fldChar w:fldCharType="end"/>
      </w:r>
      <w:r w:rsidRPr="00BB23A5">
        <w:rPr>
          <w:bCs w:val="0"/>
          <w:color w:val="auto"/>
          <w:sz w:val="22"/>
          <w:szCs w:val="22"/>
        </w:rPr>
        <w:t>:</w:t>
      </w:r>
      <w:r w:rsidRPr="00BB23A5">
        <w:rPr>
          <w:b w:val="0"/>
          <w:bCs w:val="0"/>
          <w:color w:val="auto"/>
          <w:sz w:val="22"/>
          <w:szCs w:val="22"/>
        </w:rPr>
        <w:t xml:space="preserve"> Statutory consultees for the AQAP</w:t>
      </w:r>
      <w:r>
        <w:rPr>
          <w:b w:val="0"/>
          <w:bCs w:val="0"/>
          <w:color w:val="auto"/>
          <w:sz w:val="22"/>
          <w:szCs w:val="22"/>
        </w:rPr>
        <w:t>:</w:t>
      </w:r>
    </w:p>
    <w:tbl>
      <w:tblPr>
        <w:tblStyle w:val="TableGrid"/>
        <w:tblW w:w="0" w:type="auto"/>
        <w:tblLook w:val="04A0" w:firstRow="1" w:lastRow="0" w:firstColumn="1" w:lastColumn="0" w:noHBand="0" w:noVBand="1"/>
      </w:tblPr>
      <w:tblGrid>
        <w:gridCol w:w="7007"/>
      </w:tblGrid>
      <w:tr w:rsidR="00A7282B" w14:paraId="5F72ABEF" w14:textId="77777777" w:rsidTr="00A7282B">
        <w:tc>
          <w:tcPr>
            <w:tcW w:w="7007" w:type="dxa"/>
          </w:tcPr>
          <w:p w14:paraId="5026114E" w14:textId="77777777" w:rsidR="00A7282B" w:rsidRDefault="00A7282B" w:rsidP="00A7282B">
            <w:pPr>
              <w:pStyle w:val="Appendix1"/>
              <w:spacing w:before="120" w:after="120" w:line="240"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Consultee:</w:t>
            </w:r>
          </w:p>
        </w:tc>
      </w:tr>
      <w:tr w:rsidR="00A7282B" w14:paraId="66738C9B" w14:textId="77777777" w:rsidTr="00A7282B">
        <w:tc>
          <w:tcPr>
            <w:tcW w:w="7007" w:type="dxa"/>
          </w:tcPr>
          <w:p w14:paraId="4D3ADE6B" w14:textId="77777777" w:rsidR="00A7282B" w:rsidRDefault="00A7282B" w:rsidP="00A7282B">
            <w:pPr>
              <w:pStyle w:val="Appendix1"/>
              <w:spacing w:before="120" w:after="120" w:line="240"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The secretary of State</w:t>
            </w:r>
          </w:p>
        </w:tc>
      </w:tr>
      <w:tr w:rsidR="00A7282B" w14:paraId="0690C417" w14:textId="77777777" w:rsidTr="00A7282B">
        <w:tc>
          <w:tcPr>
            <w:tcW w:w="7007" w:type="dxa"/>
          </w:tcPr>
          <w:p w14:paraId="79E5F910" w14:textId="77777777" w:rsidR="00A7282B" w:rsidRDefault="00A7282B" w:rsidP="00A7282B">
            <w:pPr>
              <w:pStyle w:val="Appendix1"/>
              <w:spacing w:before="120" w:after="120" w:line="240"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The Environment Agency</w:t>
            </w:r>
          </w:p>
        </w:tc>
      </w:tr>
      <w:tr w:rsidR="00A7282B" w14:paraId="1B16C458" w14:textId="77777777" w:rsidTr="00A7282B">
        <w:tc>
          <w:tcPr>
            <w:tcW w:w="7007" w:type="dxa"/>
          </w:tcPr>
          <w:p w14:paraId="7ABF61C5" w14:textId="77777777" w:rsidR="00A7282B" w:rsidRDefault="00A7282B" w:rsidP="00A7282B">
            <w:pPr>
              <w:pStyle w:val="Appendix1"/>
              <w:spacing w:before="120" w:after="120" w:line="240"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The Highways Authority </w:t>
            </w:r>
          </w:p>
        </w:tc>
      </w:tr>
      <w:tr w:rsidR="00A7282B" w14:paraId="1E409A42" w14:textId="77777777" w:rsidTr="00A7282B">
        <w:tc>
          <w:tcPr>
            <w:tcW w:w="7007" w:type="dxa"/>
          </w:tcPr>
          <w:p w14:paraId="53772E86" w14:textId="77777777" w:rsidR="00A7282B" w:rsidRDefault="00A7282B" w:rsidP="00A7282B">
            <w:pPr>
              <w:pStyle w:val="Appendix1"/>
              <w:spacing w:before="120" w:after="120" w:line="240"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All neighbouring local authorities</w:t>
            </w:r>
          </w:p>
        </w:tc>
      </w:tr>
      <w:tr w:rsidR="00A7282B" w14:paraId="24983F48" w14:textId="77777777" w:rsidTr="00A7282B">
        <w:tc>
          <w:tcPr>
            <w:tcW w:w="7007" w:type="dxa"/>
          </w:tcPr>
          <w:p w14:paraId="2F6A85B5" w14:textId="77777777" w:rsidR="00A7282B" w:rsidRDefault="00A7282B" w:rsidP="00A7282B">
            <w:pPr>
              <w:pStyle w:val="Appendix1"/>
              <w:spacing w:before="120" w:after="120" w:line="240"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Other public authorities as appropriate</w:t>
            </w:r>
          </w:p>
        </w:tc>
      </w:tr>
      <w:tr w:rsidR="00A7282B" w14:paraId="1458E0BB" w14:textId="77777777" w:rsidTr="00A7282B">
        <w:tc>
          <w:tcPr>
            <w:tcW w:w="7007" w:type="dxa"/>
          </w:tcPr>
          <w:p w14:paraId="7FC06E6A" w14:textId="77777777" w:rsidR="00A7282B" w:rsidRDefault="00A7282B" w:rsidP="00A7282B">
            <w:pPr>
              <w:pStyle w:val="Appendix1"/>
              <w:spacing w:before="120" w:after="120" w:line="240"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Bodies representing local business interests and other organisations as appropriate</w:t>
            </w:r>
          </w:p>
        </w:tc>
      </w:tr>
    </w:tbl>
    <w:p w14:paraId="30B2221A" w14:textId="77777777" w:rsidR="00FE264D" w:rsidRPr="00FE264D" w:rsidRDefault="00FE264D" w:rsidP="00FE264D">
      <w:pPr>
        <w:pStyle w:val="Appendix1"/>
        <w:spacing w:before="120" w:after="120"/>
        <w:rPr>
          <w:rFonts w:asciiTheme="minorHAnsi" w:eastAsiaTheme="minorHAnsi" w:hAnsiTheme="minorHAnsi" w:cstheme="minorBidi"/>
          <w:sz w:val="22"/>
          <w:szCs w:val="22"/>
        </w:rPr>
      </w:pPr>
      <w:r w:rsidRPr="00FE264D">
        <w:rPr>
          <w:rFonts w:asciiTheme="minorHAnsi" w:eastAsiaTheme="minorHAnsi" w:hAnsiTheme="minorHAnsi" w:cstheme="minorBidi"/>
          <w:sz w:val="22"/>
          <w:szCs w:val="22"/>
        </w:rPr>
        <w:t xml:space="preserve">The response to our consultation stakeholder engagement is given in Appendix </w:t>
      </w:r>
      <w:r w:rsidR="007A2194">
        <w:rPr>
          <w:rFonts w:asciiTheme="minorHAnsi" w:eastAsiaTheme="minorHAnsi" w:hAnsiTheme="minorHAnsi" w:cstheme="minorBidi"/>
          <w:sz w:val="22"/>
          <w:szCs w:val="22"/>
        </w:rPr>
        <w:t>1</w:t>
      </w:r>
      <w:r w:rsidRPr="00FE264D">
        <w:rPr>
          <w:rFonts w:asciiTheme="minorHAnsi" w:eastAsiaTheme="minorHAnsi" w:hAnsiTheme="minorHAnsi" w:cstheme="minorBidi"/>
          <w:sz w:val="22"/>
          <w:szCs w:val="22"/>
        </w:rPr>
        <w:t>.</w:t>
      </w:r>
    </w:p>
    <w:p w14:paraId="3CD313D1" w14:textId="77777777" w:rsidR="001205CC" w:rsidRPr="00FE264D" w:rsidRDefault="001205CC" w:rsidP="000A57CF">
      <w:r w:rsidRPr="00FE264D">
        <w:br w:type="page"/>
      </w:r>
    </w:p>
    <w:p w14:paraId="08AC00A3" w14:textId="77777777" w:rsidR="001205CC" w:rsidRDefault="001205CC">
      <w:pPr>
        <w:rPr>
          <w:b/>
        </w:rPr>
      </w:pPr>
      <w:r>
        <w:rPr>
          <w:b/>
        </w:rPr>
        <w:lastRenderedPageBreak/>
        <w:t>Glossary of terms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6"/>
        <w:gridCol w:w="7220"/>
      </w:tblGrid>
      <w:tr w:rsidR="00BB62A0" w:rsidRPr="00611C5A" w14:paraId="799AE85B" w14:textId="77777777" w:rsidTr="0065509E">
        <w:tc>
          <w:tcPr>
            <w:tcW w:w="1806" w:type="dxa"/>
          </w:tcPr>
          <w:p w14:paraId="49A11A2C" w14:textId="77777777" w:rsidR="00BB62A0" w:rsidRPr="00AD6B38" w:rsidRDefault="00BB62A0" w:rsidP="00234841">
            <w:pPr>
              <w:rPr>
                <w:rFonts w:cs="Arial"/>
                <w:b/>
                <w:szCs w:val="24"/>
              </w:rPr>
            </w:pPr>
            <w:r w:rsidRPr="00AD6B38">
              <w:rPr>
                <w:rFonts w:cs="Arial"/>
                <w:b/>
                <w:szCs w:val="24"/>
              </w:rPr>
              <w:t>Abbreviation:</w:t>
            </w:r>
          </w:p>
        </w:tc>
        <w:tc>
          <w:tcPr>
            <w:tcW w:w="7220" w:type="dxa"/>
          </w:tcPr>
          <w:p w14:paraId="4475E339" w14:textId="77777777" w:rsidR="00BB62A0" w:rsidRPr="00AD6B38" w:rsidRDefault="00BB62A0" w:rsidP="00234841">
            <w:pPr>
              <w:rPr>
                <w:rFonts w:cs="Arial"/>
                <w:b/>
                <w:szCs w:val="24"/>
              </w:rPr>
            </w:pPr>
            <w:r w:rsidRPr="00AD6B38">
              <w:rPr>
                <w:rFonts w:cs="Arial"/>
                <w:b/>
                <w:szCs w:val="24"/>
              </w:rPr>
              <w:t>Meaning:</w:t>
            </w:r>
          </w:p>
        </w:tc>
      </w:tr>
      <w:tr w:rsidR="007A2194" w:rsidRPr="00611C5A" w14:paraId="6A1957E0" w14:textId="77777777" w:rsidTr="0065509E">
        <w:tc>
          <w:tcPr>
            <w:tcW w:w="1806" w:type="dxa"/>
          </w:tcPr>
          <w:p w14:paraId="46D0E56B" w14:textId="77777777" w:rsidR="007A2194" w:rsidRPr="00AD6B38" w:rsidRDefault="007A2194" w:rsidP="00234841">
            <w:pPr>
              <w:rPr>
                <w:rFonts w:cs="Arial"/>
                <w:szCs w:val="24"/>
              </w:rPr>
            </w:pPr>
            <w:r w:rsidRPr="00AD6B38">
              <w:rPr>
                <w:rFonts w:cs="Arial"/>
                <w:szCs w:val="24"/>
              </w:rPr>
              <w:t>AQAP</w:t>
            </w:r>
          </w:p>
        </w:tc>
        <w:tc>
          <w:tcPr>
            <w:tcW w:w="7220" w:type="dxa"/>
          </w:tcPr>
          <w:p w14:paraId="56FE052C" w14:textId="77777777" w:rsidR="007A2194" w:rsidRPr="00AD6B38" w:rsidRDefault="007A2194" w:rsidP="00234841">
            <w:pPr>
              <w:rPr>
                <w:rFonts w:cs="Arial"/>
                <w:szCs w:val="24"/>
              </w:rPr>
            </w:pPr>
            <w:r w:rsidRPr="00AD6B38">
              <w:rPr>
                <w:rFonts w:cs="Arial"/>
                <w:szCs w:val="24"/>
              </w:rPr>
              <w:t>Air Quality Action Plan</w:t>
            </w:r>
          </w:p>
        </w:tc>
      </w:tr>
      <w:tr w:rsidR="007A2194" w:rsidRPr="00611C5A" w14:paraId="3B8D6AB3" w14:textId="77777777" w:rsidTr="0065509E">
        <w:tc>
          <w:tcPr>
            <w:tcW w:w="1806" w:type="dxa"/>
          </w:tcPr>
          <w:p w14:paraId="694D25FB" w14:textId="77777777" w:rsidR="007A2194" w:rsidRPr="00AD6B38" w:rsidRDefault="007A2194" w:rsidP="00234841">
            <w:pPr>
              <w:rPr>
                <w:rFonts w:cs="Arial"/>
                <w:szCs w:val="24"/>
              </w:rPr>
            </w:pPr>
            <w:r w:rsidRPr="00AD6B38">
              <w:rPr>
                <w:rFonts w:cs="Arial"/>
                <w:szCs w:val="24"/>
              </w:rPr>
              <w:t>AQMA</w:t>
            </w:r>
          </w:p>
        </w:tc>
        <w:tc>
          <w:tcPr>
            <w:tcW w:w="7220" w:type="dxa"/>
          </w:tcPr>
          <w:p w14:paraId="4FB706D1" w14:textId="77777777" w:rsidR="007A2194" w:rsidRPr="00AD6B38" w:rsidRDefault="007A2194" w:rsidP="00234841">
            <w:pPr>
              <w:rPr>
                <w:rFonts w:cs="Arial"/>
                <w:szCs w:val="24"/>
              </w:rPr>
            </w:pPr>
            <w:r w:rsidRPr="00AD6B38">
              <w:rPr>
                <w:rFonts w:cs="Arial"/>
                <w:szCs w:val="24"/>
              </w:rPr>
              <w:t>Air Quality Management Area</w:t>
            </w:r>
          </w:p>
        </w:tc>
      </w:tr>
      <w:tr w:rsidR="007A2194" w:rsidRPr="00611C5A" w14:paraId="03FBEA42" w14:textId="77777777" w:rsidTr="0065509E">
        <w:tc>
          <w:tcPr>
            <w:tcW w:w="1806" w:type="dxa"/>
          </w:tcPr>
          <w:p w14:paraId="3B4328A6" w14:textId="77777777" w:rsidR="007A2194" w:rsidRPr="00AD6B38" w:rsidRDefault="007A2194" w:rsidP="00234841">
            <w:pPr>
              <w:rPr>
                <w:rFonts w:cs="Arial"/>
                <w:szCs w:val="24"/>
              </w:rPr>
            </w:pPr>
            <w:r w:rsidRPr="00AD6B38">
              <w:rPr>
                <w:rFonts w:cs="Arial"/>
                <w:szCs w:val="24"/>
              </w:rPr>
              <w:t>AQO</w:t>
            </w:r>
          </w:p>
        </w:tc>
        <w:tc>
          <w:tcPr>
            <w:tcW w:w="7220" w:type="dxa"/>
          </w:tcPr>
          <w:p w14:paraId="1A7B370F" w14:textId="77777777" w:rsidR="007A2194" w:rsidRPr="00AD6B38" w:rsidRDefault="007A2194" w:rsidP="00234841">
            <w:pPr>
              <w:rPr>
                <w:rFonts w:cs="Arial"/>
                <w:szCs w:val="24"/>
              </w:rPr>
            </w:pPr>
            <w:r w:rsidRPr="00AD6B38">
              <w:rPr>
                <w:rFonts w:cs="Arial"/>
                <w:szCs w:val="24"/>
              </w:rPr>
              <w:t xml:space="preserve">Air Quality Standards and Objectives contained in the UK Air Quality Regulations </w:t>
            </w:r>
          </w:p>
        </w:tc>
      </w:tr>
      <w:tr w:rsidR="007A2194" w:rsidRPr="00611C5A" w14:paraId="50B5AF4B" w14:textId="77777777" w:rsidTr="0065509E">
        <w:tc>
          <w:tcPr>
            <w:tcW w:w="1806" w:type="dxa"/>
          </w:tcPr>
          <w:p w14:paraId="7256951B" w14:textId="77777777" w:rsidR="007A2194" w:rsidRPr="00AD6B38" w:rsidRDefault="007A2194" w:rsidP="00BB62A0">
            <w:pPr>
              <w:rPr>
                <w:rFonts w:cs="Arial"/>
                <w:szCs w:val="24"/>
              </w:rPr>
            </w:pPr>
            <w:r>
              <w:rPr>
                <w:rFonts w:cs="Arial"/>
                <w:szCs w:val="24"/>
              </w:rPr>
              <w:t>Canyonised</w:t>
            </w:r>
          </w:p>
        </w:tc>
        <w:tc>
          <w:tcPr>
            <w:tcW w:w="7220" w:type="dxa"/>
          </w:tcPr>
          <w:p w14:paraId="7EA3104F" w14:textId="77777777" w:rsidR="007A2194" w:rsidRPr="00AD6B38" w:rsidRDefault="007A2194" w:rsidP="00234841">
            <w:pPr>
              <w:rPr>
                <w:rFonts w:cs="Arial"/>
                <w:szCs w:val="24"/>
              </w:rPr>
            </w:pPr>
            <w:r>
              <w:rPr>
                <w:rFonts w:cs="Arial"/>
                <w:szCs w:val="24"/>
              </w:rPr>
              <w:t>A street where the buildings are tall in relation to its width</w:t>
            </w:r>
          </w:p>
        </w:tc>
      </w:tr>
      <w:tr w:rsidR="007A2194" w:rsidRPr="00611C5A" w14:paraId="182C76B7" w14:textId="77777777" w:rsidTr="0065509E">
        <w:tc>
          <w:tcPr>
            <w:tcW w:w="1806" w:type="dxa"/>
          </w:tcPr>
          <w:p w14:paraId="6512AF2E" w14:textId="77777777" w:rsidR="007A2194" w:rsidRPr="00AD6B38" w:rsidRDefault="007A2194" w:rsidP="00234841">
            <w:pPr>
              <w:rPr>
                <w:rFonts w:cs="Arial"/>
                <w:szCs w:val="24"/>
              </w:rPr>
            </w:pPr>
            <w:r w:rsidRPr="00AD6B38">
              <w:rPr>
                <w:rFonts w:cs="Arial"/>
                <w:szCs w:val="24"/>
              </w:rPr>
              <w:t>CDC</w:t>
            </w:r>
          </w:p>
        </w:tc>
        <w:tc>
          <w:tcPr>
            <w:tcW w:w="7220" w:type="dxa"/>
          </w:tcPr>
          <w:p w14:paraId="18D756DF" w14:textId="77777777" w:rsidR="007A2194" w:rsidRPr="00AD6B38" w:rsidRDefault="007A2194" w:rsidP="00234841">
            <w:pPr>
              <w:rPr>
                <w:rFonts w:cs="Arial"/>
                <w:szCs w:val="24"/>
              </w:rPr>
            </w:pPr>
            <w:r w:rsidRPr="00AD6B38">
              <w:rPr>
                <w:rFonts w:cs="Arial"/>
                <w:szCs w:val="24"/>
              </w:rPr>
              <w:t>Chichester District Council</w:t>
            </w:r>
          </w:p>
        </w:tc>
      </w:tr>
      <w:tr w:rsidR="007A2194" w:rsidRPr="00611C5A" w14:paraId="10A95917" w14:textId="77777777" w:rsidTr="0065509E">
        <w:tc>
          <w:tcPr>
            <w:tcW w:w="1806" w:type="dxa"/>
          </w:tcPr>
          <w:p w14:paraId="7CD30BD1" w14:textId="77777777" w:rsidR="007A2194" w:rsidRPr="00AD6B38" w:rsidRDefault="007A2194" w:rsidP="00234841">
            <w:pPr>
              <w:rPr>
                <w:rFonts w:cs="Arial"/>
                <w:szCs w:val="24"/>
              </w:rPr>
            </w:pPr>
            <w:r w:rsidRPr="00AD6B38">
              <w:rPr>
                <w:rFonts w:cs="Arial"/>
                <w:szCs w:val="24"/>
              </w:rPr>
              <w:t>DEFRA</w:t>
            </w:r>
          </w:p>
        </w:tc>
        <w:tc>
          <w:tcPr>
            <w:tcW w:w="7220" w:type="dxa"/>
          </w:tcPr>
          <w:p w14:paraId="477939C0" w14:textId="77777777" w:rsidR="007A2194" w:rsidRPr="00AD6B38" w:rsidRDefault="007A2194" w:rsidP="00234841">
            <w:pPr>
              <w:rPr>
                <w:rFonts w:cs="Arial"/>
                <w:szCs w:val="24"/>
              </w:rPr>
            </w:pPr>
            <w:r w:rsidRPr="00AD6B38">
              <w:rPr>
                <w:rFonts w:cs="Arial"/>
                <w:szCs w:val="24"/>
              </w:rPr>
              <w:t>Department of Environment, Food and Rural Affairs</w:t>
            </w:r>
          </w:p>
        </w:tc>
      </w:tr>
      <w:tr w:rsidR="007A2194" w:rsidRPr="00611C5A" w14:paraId="05E9A6B8" w14:textId="77777777" w:rsidTr="0065509E">
        <w:tc>
          <w:tcPr>
            <w:tcW w:w="1806" w:type="dxa"/>
          </w:tcPr>
          <w:p w14:paraId="4BCB6EC4" w14:textId="77777777" w:rsidR="007A2194" w:rsidRPr="00AD6B38" w:rsidRDefault="007A2194" w:rsidP="00234841">
            <w:pPr>
              <w:rPr>
                <w:rFonts w:cs="Arial"/>
                <w:szCs w:val="24"/>
              </w:rPr>
            </w:pPr>
            <w:r w:rsidRPr="00AD6B38">
              <w:rPr>
                <w:rFonts w:cs="Arial"/>
                <w:szCs w:val="24"/>
              </w:rPr>
              <w:t>DfT</w:t>
            </w:r>
          </w:p>
        </w:tc>
        <w:tc>
          <w:tcPr>
            <w:tcW w:w="7220" w:type="dxa"/>
          </w:tcPr>
          <w:p w14:paraId="566543DF" w14:textId="77777777" w:rsidR="007A2194" w:rsidRPr="00AD6B38" w:rsidRDefault="007A2194" w:rsidP="00234841">
            <w:pPr>
              <w:rPr>
                <w:rFonts w:cs="Arial"/>
                <w:szCs w:val="24"/>
              </w:rPr>
            </w:pPr>
            <w:r w:rsidRPr="00AD6B38">
              <w:rPr>
                <w:rFonts w:cs="Arial"/>
                <w:szCs w:val="24"/>
              </w:rPr>
              <w:t>Department for Transport</w:t>
            </w:r>
          </w:p>
        </w:tc>
      </w:tr>
      <w:tr w:rsidR="007A2194" w:rsidRPr="00611C5A" w14:paraId="0067046A" w14:textId="77777777" w:rsidTr="0065509E">
        <w:tc>
          <w:tcPr>
            <w:tcW w:w="1806" w:type="dxa"/>
          </w:tcPr>
          <w:p w14:paraId="6FAD991D" w14:textId="77777777" w:rsidR="007A2194" w:rsidRPr="00AD6B38" w:rsidRDefault="007A2194" w:rsidP="00234841">
            <w:pPr>
              <w:rPr>
                <w:rFonts w:cs="Arial"/>
                <w:szCs w:val="24"/>
              </w:rPr>
            </w:pPr>
            <w:r w:rsidRPr="00AD6B38">
              <w:rPr>
                <w:rFonts w:cs="Arial"/>
                <w:szCs w:val="24"/>
              </w:rPr>
              <w:t>ERG</w:t>
            </w:r>
          </w:p>
        </w:tc>
        <w:tc>
          <w:tcPr>
            <w:tcW w:w="7220" w:type="dxa"/>
          </w:tcPr>
          <w:p w14:paraId="71D7D72E" w14:textId="77777777" w:rsidR="007A2194" w:rsidRPr="00AD6B38" w:rsidRDefault="007A2194" w:rsidP="00234841">
            <w:pPr>
              <w:rPr>
                <w:rFonts w:cs="Arial"/>
                <w:szCs w:val="24"/>
              </w:rPr>
            </w:pPr>
            <w:r w:rsidRPr="00AD6B38">
              <w:rPr>
                <w:rFonts w:cs="Arial"/>
                <w:szCs w:val="24"/>
              </w:rPr>
              <w:t>Environmental Research Group (part of King’s College London)</w:t>
            </w:r>
          </w:p>
        </w:tc>
      </w:tr>
      <w:tr w:rsidR="007A2194" w:rsidRPr="00611C5A" w14:paraId="6A264F9A" w14:textId="77777777" w:rsidTr="0065509E">
        <w:tc>
          <w:tcPr>
            <w:tcW w:w="1806" w:type="dxa"/>
          </w:tcPr>
          <w:p w14:paraId="0B20FE00" w14:textId="77777777" w:rsidR="007A2194" w:rsidRPr="00AD6B38" w:rsidRDefault="007A2194" w:rsidP="00234841">
            <w:pPr>
              <w:rPr>
                <w:rFonts w:cs="Arial"/>
                <w:szCs w:val="24"/>
              </w:rPr>
            </w:pPr>
            <w:r w:rsidRPr="00AD6B38">
              <w:rPr>
                <w:rFonts w:cs="Arial"/>
                <w:szCs w:val="24"/>
              </w:rPr>
              <w:t xml:space="preserve">EU </w:t>
            </w:r>
          </w:p>
        </w:tc>
        <w:tc>
          <w:tcPr>
            <w:tcW w:w="7220" w:type="dxa"/>
          </w:tcPr>
          <w:p w14:paraId="0BBCEEEA" w14:textId="77777777" w:rsidR="007A2194" w:rsidRPr="00AD6B38" w:rsidRDefault="007A2194" w:rsidP="00234841">
            <w:pPr>
              <w:rPr>
                <w:rFonts w:cs="Arial"/>
                <w:szCs w:val="24"/>
              </w:rPr>
            </w:pPr>
            <w:r w:rsidRPr="00AD6B38">
              <w:rPr>
                <w:rFonts w:cs="Arial"/>
                <w:szCs w:val="24"/>
              </w:rPr>
              <w:t>European Union</w:t>
            </w:r>
          </w:p>
        </w:tc>
      </w:tr>
      <w:tr w:rsidR="0065509E" w:rsidRPr="00611C5A" w14:paraId="681C1EF1" w14:textId="77777777" w:rsidTr="0065509E">
        <w:tc>
          <w:tcPr>
            <w:tcW w:w="1806" w:type="dxa"/>
          </w:tcPr>
          <w:p w14:paraId="5F7B81A3" w14:textId="6659939B" w:rsidR="0065509E" w:rsidRPr="00AD6B38" w:rsidRDefault="0065509E" w:rsidP="0065509E">
            <w:pPr>
              <w:rPr>
                <w:rFonts w:cs="Arial"/>
                <w:szCs w:val="24"/>
              </w:rPr>
            </w:pPr>
            <w:r>
              <w:rPr>
                <w:rFonts w:cs="Arial"/>
                <w:szCs w:val="24"/>
              </w:rPr>
              <w:t>GIS</w:t>
            </w:r>
          </w:p>
        </w:tc>
        <w:tc>
          <w:tcPr>
            <w:tcW w:w="7220" w:type="dxa"/>
          </w:tcPr>
          <w:p w14:paraId="2029367D" w14:textId="15809FB7" w:rsidR="0065509E" w:rsidRPr="00AD6B38" w:rsidRDefault="0065509E" w:rsidP="0065509E">
            <w:pPr>
              <w:rPr>
                <w:rFonts w:cs="Arial"/>
                <w:szCs w:val="24"/>
              </w:rPr>
            </w:pPr>
            <w:r>
              <w:rPr>
                <w:rFonts w:cs="Arial"/>
                <w:szCs w:val="24"/>
              </w:rPr>
              <w:t xml:space="preserve">Geographic Information System – a digital mapping software system </w:t>
            </w:r>
          </w:p>
        </w:tc>
      </w:tr>
      <w:tr w:rsidR="0065509E" w:rsidRPr="00611C5A" w14:paraId="1C786B2A" w14:textId="77777777" w:rsidTr="0065509E">
        <w:tc>
          <w:tcPr>
            <w:tcW w:w="1806" w:type="dxa"/>
          </w:tcPr>
          <w:p w14:paraId="5AC8B844" w14:textId="77777777" w:rsidR="0065509E" w:rsidRPr="00AD6B38" w:rsidRDefault="0065509E" w:rsidP="0065509E">
            <w:pPr>
              <w:rPr>
                <w:rFonts w:cs="Arial"/>
                <w:szCs w:val="24"/>
              </w:rPr>
            </w:pPr>
            <w:r>
              <w:rPr>
                <w:rFonts w:cs="Arial"/>
                <w:szCs w:val="24"/>
              </w:rPr>
              <w:t>Imperial</w:t>
            </w:r>
          </w:p>
        </w:tc>
        <w:tc>
          <w:tcPr>
            <w:tcW w:w="7220" w:type="dxa"/>
          </w:tcPr>
          <w:p w14:paraId="6151DC2C" w14:textId="77777777" w:rsidR="0065509E" w:rsidRPr="00AD6B38" w:rsidRDefault="0065509E" w:rsidP="0065509E">
            <w:pPr>
              <w:rPr>
                <w:rFonts w:cs="Arial"/>
                <w:szCs w:val="24"/>
              </w:rPr>
            </w:pPr>
            <w:r>
              <w:rPr>
                <w:rFonts w:cs="Arial"/>
                <w:szCs w:val="24"/>
              </w:rPr>
              <w:t>Imperial</w:t>
            </w:r>
            <w:r w:rsidRPr="00AD6B38">
              <w:rPr>
                <w:rFonts w:cs="Arial"/>
                <w:szCs w:val="24"/>
              </w:rPr>
              <w:t xml:space="preserve"> College London</w:t>
            </w:r>
          </w:p>
        </w:tc>
      </w:tr>
      <w:tr w:rsidR="0065509E" w:rsidRPr="00611C5A" w14:paraId="71CCACD0" w14:textId="77777777" w:rsidTr="0065509E">
        <w:tc>
          <w:tcPr>
            <w:tcW w:w="1806" w:type="dxa"/>
          </w:tcPr>
          <w:p w14:paraId="52B3E24E" w14:textId="77777777" w:rsidR="0065509E" w:rsidRPr="00AD6B38" w:rsidRDefault="0065509E" w:rsidP="0065509E">
            <w:pPr>
              <w:rPr>
                <w:rFonts w:cs="Arial"/>
                <w:szCs w:val="24"/>
              </w:rPr>
            </w:pPr>
            <w:r>
              <w:rPr>
                <w:rFonts w:cs="Arial"/>
                <w:szCs w:val="24"/>
              </w:rPr>
              <w:t>IPPC</w:t>
            </w:r>
          </w:p>
        </w:tc>
        <w:tc>
          <w:tcPr>
            <w:tcW w:w="7220" w:type="dxa"/>
          </w:tcPr>
          <w:p w14:paraId="59FD9F14" w14:textId="77777777" w:rsidR="0065509E" w:rsidRPr="00AD6B38" w:rsidRDefault="0065509E" w:rsidP="0065509E">
            <w:pPr>
              <w:rPr>
                <w:rFonts w:cs="Arial"/>
                <w:szCs w:val="24"/>
              </w:rPr>
            </w:pPr>
            <w:r>
              <w:rPr>
                <w:rFonts w:cs="Arial"/>
                <w:szCs w:val="24"/>
              </w:rPr>
              <w:t>Integrated Pollution Prevention and Control</w:t>
            </w:r>
          </w:p>
        </w:tc>
      </w:tr>
      <w:tr w:rsidR="0065509E" w:rsidRPr="00611C5A" w14:paraId="36DF1D37" w14:textId="77777777" w:rsidTr="0065509E">
        <w:tc>
          <w:tcPr>
            <w:tcW w:w="1806" w:type="dxa"/>
          </w:tcPr>
          <w:p w14:paraId="540E8CA4" w14:textId="77777777" w:rsidR="0065509E" w:rsidRPr="00AD6B38" w:rsidRDefault="0065509E" w:rsidP="0065509E">
            <w:pPr>
              <w:rPr>
                <w:rFonts w:cs="Arial"/>
                <w:szCs w:val="24"/>
              </w:rPr>
            </w:pPr>
            <w:r w:rsidRPr="00AD6B38">
              <w:rPr>
                <w:rFonts w:cs="Arial"/>
                <w:szCs w:val="24"/>
              </w:rPr>
              <w:t>LAQM</w:t>
            </w:r>
          </w:p>
        </w:tc>
        <w:tc>
          <w:tcPr>
            <w:tcW w:w="7220" w:type="dxa"/>
          </w:tcPr>
          <w:p w14:paraId="4D364AC4" w14:textId="77777777" w:rsidR="0065509E" w:rsidRPr="00AD6B38" w:rsidRDefault="0065509E" w:rsidP="0065509E">
            <w:pPr>
              <w:rPr>
                <w:rFonts w:cs="Arial"/>
                <w:szCs w:val="24"/>
              </w:rPr>
            </w:pPr>
            <w:r w:rsidRPr="00AD6B38">
              <w:rPr>
                <w:rFonts w:cs="Arial"/>
                <w:szCs w:val="24"/>
              </w:rPr>
              <w:t>The Local Air Quality Management regime</w:t>
            </w:r>
          </w:p>
        </w:tc>
      </w:tr>
      <w:tr w:rsidR="0065509E" w:rsidRPr="00611C5A" w14:paraId="635F70B2" w14:textId="77777777" w:rsidTr="0065509E">
        <w:tc>
          <w:tcPr>
            <w:tcW w:w="1806" w:type="dxa"/>
          </w:tcPr>
          <w:p w14:paraId="2870A2EB" w14:textId="77777777" w:rsidR="0065509E" w:rsidRPr="00AD6B38" w:rsidRDefault="0065509E" w:rsidP="0065509E">
            <w:pPr>
              <w:rPr>
                <w:rFonts w:cs="Arial"/>
                <w:szCs w:val="24"/>
              </w:rPr>
            </w:pPr>
            <w:r w:rsidRPr="00AD6B38">
              <w:rPr>
                <w:rFonts w:cs="Arial"/>
                <w:szCs w:val="24"/>
              </w:rPr>
              <w:t>LEP</w:t>
            </w:r>
          </w:p>
        </w:tc>
        <w:tc>
          <w:tcPr>
            <w:tcW w:w="7220" w:type="dxa"/>
          </w:tcPr>
          <w:p w14:paraId="0426E658" w14:textId="77777777" w:rsidR="0065509E" w:rsidRPr="00AD6B38" w:rsidRDefault="0065509E" w:rsidP="0065509E">
            <w:pPr>
              <w:rPr>
                <w:rFonts w:cs="Arial"/>
                <w:szCs w:val="24"/>
              </w:rPr>
            </w:pPr>
            <w:r w:rsidRPr="00AD6B38">
              <w:rPr>
                <w:rFonts w:cs="Arial"/>
                <w:szCs w:val="24"/>
              </w:rPr>
              <w:t>Local Enterprise Partnership</w:t>
            </w:r>
          </w:p>
        </w:tc>
      </w:tr>
      <w:tr w:rsidR="0065509E" w:rsidRPr="00611C5A" w14:paraId="0FA660CD" w14:textId="77777777" w:rsidTr="0065509E">
        <w:tc>
          <w:tcPr>
            <w:tcW w:w="1806" w:type="dxa"/>
          </w:tcPr>
          <w:p w14:paraId="5F733561" w14:textId="77777777" w:rsidR="0065509E" w:rsidRPr="00AD6B38" w:rsidRDefault="0065509E" w:rsidP="0065509E">
            <w:pPr>
              <w:rPr>
                <w:rFonts w:cs="Arial"/>
                <w:szCs w:val="24"/>
              </w:rPr>
            </w:pPr>
            <w:r>
              <w:rPr>
                <w:rFonts w:cs="Arial"/>
                <w:szCs w:val="24"/>
              </w:rPr>
              <w:t>LTP</w:t>
            </w:r>
          </w:p>
        </w:tc>
        <w:tc>
          <w:tcPr>
            <w:tcW w:w="7220" w:type="dxa"/>
          </w:tcPr>
          <w:p w14:paraId="61D3A679" w14:textId="77777777" w:rsidR="0065509E" w:rsidRPr="00AD6B38" w:rsidRDefault="0065509E" w:rsidP="0065509E">
            <w:pPr>
              <w:rPr>
                <w:rFonts w:cs="Arial"/>
                <w:szCs w:val="24"/>
              </w:rPr>
            </w:pPr>
            <w:r>
              <w:rPr>
                <w:rFonts w:cs="Arial"/>
                <w:szCs w:val="24"/>
              </w:rPr>
              <w:t>Local Transport Plan</w:t>
            </w:r>
          </w:p>
        </w:tc>
      </w:tr>
      <w:tr w:rsidR="0065509E" w:rsidRPr="00611C5A" w14:paraId="65BC3AD5" w14:textId="77777777" w:rsidTr="0065509E">
        <w:tc>
          <w:tcPr>
            <w:tcW w:w="1806" w:type="dxa"/>
          </w:tcPr>
          <w:p w14:paraId="7CDC6113" w14:textId="77777777" w:rsidR="0065509E" w:rsidRDefault="0065509E" w:rsidP="0065509E">
            <w:pPr>
              <w:rPr>
                <w:rFonts w:cs="Arial"/>
                <w:szCs w:val="24"/>
              </w:rPr>
            </w:pPr>
            <w:r>
              <w:rPr>
                <w:rFonts w:cs="Arial"/>
                <w:szCs w:val="24"/>
              </w:rPr>
              <w:t>Modal-shift</w:t>
            </w:r>
          </w:p>
        </w:tc>
        <w:tc>
          <w:tcPr>
            <w:tcW w:w="7220" w:type="dxa"/>
          </w:tcPr>
          <w:p w14:paraId="2D85167B" w14:textId="77777777" w:rsidR="0065509E" w:rsidRDefault="0065509E" w:rsidP="0065509E">
            <w:pPr>
              <w:rPr>
                <w:rFonts w:cs="Arial"/>
                <w:szCs w:val="24"/>
              </w:rPr>
            </w:pPr>
            <w:r>
              <w:rPr>
                <w:rFonts w:cs="Arial"/>
                <w:szCs w:val="24"/>
              </w:rPr>
              <w:t>Changing transport modes to greener modes</w:t>
            </w:r>
          </w:p>
        </w:tc>
      </w:tr>
      <w:tr w:rsidR="003B47CD" w:rsidRPr="00611C5A" w14:paraId="58E67CBD" w14:textId="77777777" w:rsidTr="0065509E">
        <w:tc>
          <w:tcPr>
            <w:tcW w:w="1806" w:type="dxa"/>
          </w:tcPr>
          <w:p w14:paraId="000BE4B7" w14:textId="113CEB5F" w:rsidR="003B47CD" w:rsidRDefault="003B47CD" w:rsidP="0065509E">
            <w:pPr>
              <w:rPr>
                <w:rFonts w:cs="Arial"/>
                <w:szCs w:val="24"/>
              </w:rPr>
            </w:pPr>
            <w:r>
              <w:rPr>
                <w:rFonts w:cs="Arial"/>
                <w:szCs w:val="24"/>
              </w:rPr>
              <w:t>NH</w:t>
            </w:r>
          </w:p>
        </w:tc>
        <w:tc>
          <w:tcPr>
            <w:tcW w:w="7220" w:type="dxa"/>
          </w:tcPr>
          <w:p w14:paraId="6351EC63" w14:textId="5705BF44" w:rsidR="003B47CD" w:rsidRDefault="003B47CD" w:rsidP="0065509E">
            <w:pPr>
              <w:rPr>
                <w:rFonts w:cs="Arial"/>
                <w:szCs w:val="24"/>
              </w:rPr>
            </w:pPr>
            <w:r>
              <w:rPr>
                <w:rFonts w:cs="Arial"/>
                <w:szCs w:val="24"/>
              </w:rPr>
              <w:t>National Highways (who are responsible for the A27 trunk road)</w:t>
            </w:r>
          </w:p>
        </w:tc>
      </w:tr>
      <w:tr w:rsidR="0065509E" w:rsidRPr="00611C5A" w14:paraId="4FE46C96" w14:textId="77777777" w:rsidTr="0065509E">
        <w:tc>
          <w:tcPr>
            <w:tcW w:w="1806" w:type="dxa"/>
          </w:tcPr>
          <w:p w14:paraId="0129E888" w14:textId="77777777" w:rsidR="0065509E" w:rsidRPr="00AD6B38" w:rsidRDefault="0065509E" w:rsidP="0065509E">
            <w:pPr>
              <w:rPr>
                <w:rFonts w:cs="Arial"/>
                <w:szCs w:val="24"/>
              </w:rPr>
            </w:pPr>
            <w:r w:rsidRPr="00AD6B38">
              <w:rPr>
                <w:rFonts w:cs="Arial"/>
                <w:szCs w:val="24"/>
              </w:rPr>
              <w:t>NO</w:t>
            </w:r>
            <w:r w:rsidRPr="00AD6B38">
              <w:rPr>
                <w:rFonts w:cs="Arial"/>
                <w:szCs w:val="24"/>
                <w:vertAlign w:val="subscript"/>
              </w:rPr>
              <w:t>2</w:t>
            </w:r>
          </w:p>
        </w:tc>
        <w:tc>
          <w:tcPr>
            <w:tcW w:w="7220" w:type="dxa"/>
          </w:tcPr>
          <w:p w14:paraId="3FCA5324" w14:textId="77777777" w:rsidR="0065509E" w:rsidRPr="00AD6B38" w:rsidRDefault="0065509E" w:rsidP="0065509E">
            <w:pPr>
              <w:rPr>
                <w:rFonts w:cs="Arial"/>
                <w:szCs w:val="24"/>
              </w:rPr>
            </w:pPr>
            <w:r w:rsidRPr="00AD6B38">
              <w:rPr>
                <w:rFonts w:cs="Arial"/>
                <w:szCs w:val="24"/>
              </w:rPr>
              <w:t>The pollutant Nitrogen dioxide</w:t>
            </w:r>
          </w:p>
        </w:tc>
      </w:tr>
      <w:tr w:rsidR="0065509E" w:rsidRPr="00611C5A" w14:paraId="6790FC81" w14:textId="77777777" w:rsidTr="0065509E">
        <w:tc>
          <w:tcPr>
            <w:tcW w:w="1806" w:type="dxa"/>
          </w:tcPr>
          <w:p w14:paraId="09269A00" w14:textId="77777777" w:rsidR="0065509E" w:rsidRPr="00AD6B38" w:rsidRDefault="0065509E" w:rsidP="0065509E">
            <w:pPr>
              <w:rPr>
                <w:rFonts w:cs="Arial"/>
                <w:szCs w:val="24"/>
              </w:rPr>
            </w:pPr>
            <w:r w:rsidRPr="00AD6B38">
              <w:rPr>
                <w:rFonts w:cs="Arial"/>
                <w:szCs w:val="24"/>
              </w:rPr>
              <w:t>NOx</w:t>
            </w:r>
          </w:p>
        </w:tc>
        <w:tc>
          <w:tcPr>
            <w:tcW w:w="7220" w:type="dxa"/>
          </w:tcPr>
          <w:p w14:paraId="28EEADDF" w14:textId="77777777" w:rsidR="0065509E" w:rsidRPr="00AD6B38" w:rsidRDefault="0065509E" w:rsidP="0065509E">
            <w:pPr>
              <w:rPr>
                <w:rFonts w:cs="Arial"/>
                <w:szCs w:val="24"/>
              </w:rPr>
            </w:pPr>
            <w:r w:rsidRPr="00AD6B38">
              <w:rPr>
                <w:rFonts w:cs="Arial"/>
                <w:szCs w:val="24"/>
              </w:rPr>
              <w:t>The pollutant ‘family’ Oxides of Nitrogen</w:t>
            </w:r>
          </w:p>
        </w:tc>
      </w:tr>
      <w:tr w:rsidR="0065509E" w:rsidRPr="00611C5A" w14:paraId="525BB6A0" w14:textId="77777777" w:rsidTr="0065509E">
        <w:tc>
          <w:tcPr>
            <w:tcW w:w="1806" w:type="dxa"/>
          </w:tcPr>
          <w:p w14:paraId="4033DF6B" w14:textId="77777777" w:rsidR="0065509E" w:rsidRPr="00AD6B38" w:rsidRDefault="0065509E" w:rsidP="0065509E">
            <w:pPr>
              <w:rPr>
                <w:rFonts w:cs="Arial"/>
                <w:szCs w:val="24"/>
              </w:rPr>
            </w:pPr>
            <w:r w:rsidRPr="00AD6B38">
              <w:rPr>
                <w:rFonts w:cs="Arial"/>
                <w:szCs w:val="24"/>
              </w:rPr>
              <w:t>OLEV</w:t>
            </w:r>
          </w:p>
        </w:tc>
        <w:tc>
          <w:tcPr>
            <w:tcW w:w="7220" w:type="dxa"/>
          </w:tcPr>
          <w:p w14:paraId="210EDDB2" w14:textId="77777777" w:rsidR="0065509E" w:rsidRPr="00AD6B38" w:rsidRDefault="0065509E" w:rsidP="0065509E">
            <w:pPr>
              <w:rPr>
                <w:rFonts w:cs="Arial"/>
                <w:szCs w:val="24"/>
              </w:rPr>
            </w:pPr>
            <w:r w:rsidRPr="00AD6B38">
              <w:rPr>
                <w:rFonts w:cs="Arial"/>
                <w:szCs w:val="24"/>
              </w:rPr>
              <w:t>Office for Low Emission Vehicles (part of DfT)</w:t>
            </w:r>
          </w:p>
        </w:tc>
      </w:tr>
      <w:tr w:rsidR="0065509E" w:rsidRPr="00611C5A" w14:paraId="78700DCC" w14:textId="77777777" w:rsidTr="0065509E">
        <w:tc>
          <w:tcPr>
            <w:tcW w:w="1806" w:type="dxa"/>
          </w:tcPr>
          <w:p w14:paraId="237A0479" w14:textId="77777777" w:rsidR="0065509E" w:rsidRPr="00AD6B38" w:rsidRDefault="0065509E" w:rsidP="0065509E">
            <w:pPr>
              <w:rPr>
                <w:rFonts w:cs="Arial"/>
                <w:szCs w:val="24"/>
              </w:rPr>
            </w:pPr>
            <w:r w:rsidRPr="00AD6B38">
              <w:rPr>
                <w:rFonts w:cs="Arial"/>
                <w:szCs w:val="24"/>
              </w:rPr>
              <w:t>PM</w:t>
            </w:r>
            <w:r w:rsidRPr="00AD6B38">
              <w:rPr>
                <w:rFonts w:cs="Arial"/>
                <w:szCs w:val="24"/>
                <w:vertAlign w:val="subscript"/>
              </w:rPr>
              <w:t>10</w:t>
            </w:r>
          </w:p>
        </w:tc>
        <w:tc>
          <w:tcPr>
            <w:tcW w:w="7220" w:type="dxa"/>
          </w:tcPr>
          <w:p w14:paraId="1B0A6276" w14:textId="77777777" w:rsidR="0065509E" w:rsidRPr="00AD6B38" w:rsidRDefault="0065509E" w:rsidP="0065509E">
            <w:pPr>
              <w:rPr>
                <w:rFonts w:cs="Arial"/>
                <w:szCs w:val="24"/>
              </w:rPr>
            </w:pPr>
            <w:r w:rsidRPr="00AD6B38">
              <w:rPr>
                <w:rFonts w:cs="Arial"/>
                <w:szCs w:val="24"/>
              </w:rPr>
              <w:t xml:space="preserve">Particulate matter smaller than </w:t>
            </w:r>
            <w:r>
              <w:rPr>
                <w:rFonts w:cs="Arial"/>
                <w:szCs w:val="24"/>
              </w:rPr>
              <w:t>10</w:t>
            </w:r>
            <w:r w:rsidRPr="00AD6B38">
              <w:rPr>
                <w:rFonts w:cs="Arial"/>
                <w:szCs w:val="24"/>
              </w:rPr>
              <w:t>µm in diameter</w:t>
            </w:r>
          </w:p>
        </w:tc>
      </w:tr>
      <w:tr w:rsidR="0065509E" w:rsidRPr="00611C5A" w14:paraId="4A81C882" w14:textId="77777777" w:rsidTr="0065509E">
        <w:tc>
          <w:tcPr>
            <w:tcW w:w="1806" w:type="dxa"/>
          </w:tcPr>
          <w:p w14:paraId="7DCE4F81" w14:textId="77777777" w:rsidR="0065509E" w:rsidRPr="00AD6B38" w:rsidRDefault="0065509E" w:rsidP="0065509E">
            <w:pPr>
              <w:rPr>
                <w:rFonts w:cs="Arial"/>
                <w:szCs w:val="24"/>
              </w:rPr>
            </w:pPr>
            <w:r w:rsidRPr="00AD6B38">
              <w:rPr>
                <w:rFonts w:cs="Arial"/>
                <w:szCs w:val="24"/>
              </w:rPr>
              <w:t>PM</w:t>
            </w:r>
            <w:r w:rsidRPr="00AD6B38">
              <w:rPr>
                <w:rFonts w:cs="Arial"/>
                <w:szCs w:val="24"/>
                <w:vertAlign w:val="subscript"/>
              </w:rPr>
              <w:t>2.5</w:t>
            </w:r>
          </w:p>
        </w:tc>
        <w:tc>
          <w:tcPr>
            <w:tcW w:w="7220" w:type="dxa"/>
          </w:tcPr>
          <w:p w14:paraId="6ECD0691" w14:textId="77777777" w:rsidR="0065509E" w:rsidRPr="00AD6B38" w:rsidRDefault="0065509E" w:rsidP="0065509E">
            <w:pPr>
              <w:rPr>
                <w:rFonts w:cs="Arial"/>
                <w:szCs w:val="24"/>
              </w:rPr>
            </w:pPr>
            <w:r w:rsidRPr="00AD6B38">
              <w:rPr>
                <w:rFonts w:cs="Arial"/>
                <w:szCs w:val="24"/>
              </w:rPr>
              <w:t>Particulate matter smaller than 2.5µm in diameter</w:t>
            </w:r>
          </w:p>
        </w:tc>
      </w:tr>
      <w:tr w:rsidR="0065509E" w:rsidRPr="00611C5A" w14:paraId="2398A271" w14:textId="77777777" w:rsidTr="0065509E">
        <w:tc>
          <w:tcPr>
            <w:tcW w:w="1806" w:type="dxa"/>
          </w:tcPr>
          <w:p w14:paraId="6FF6095A" w14:textId="77777777" w:rsidR="0065509E" w:rsidRPr="00AD6B38" w:rsidRDefault="0065509E" w:rsidP="0065509E">
            <w:pPr>
              <w:rPr>
                <w:rFonts w:cs="Arial"/>
                <w:szCs w:val="24"/>
              </w:rPr>
            </w:pPr>
            <w:r>
              <w:rPr>
                <w:rFonts w:cs="Arial"/>
                <w:szCs w:val="24"/>
              </w:rPr>
              <w:t>PPB</w:t>
            </w:r>
          </w:p>
        </w:tc>
        <w:tc>
          <w:tcPr>
            <w:tcW w:w="7220" w:type="dxa"/>
          </w:tcPr>
          <w:p w14:paraId="4CD1B1A3" w14:textId="77777777" w:rsidR="0065509E" w:rsidRPr="00AD6B38" w:rsidRDefault="0065509E" w:rsidP="0065509E">
            <w:pPr>
              <w:rPr>
                <w:rFonts w:cs="Arial"/>
                <w:szCs w:val="24"/>
              </w:rPr>
            </w:pPr>
            <w:r>
              <w:rPr>
                <w:rFonts w:cs="Arial"/>
                <w:szCs w:val="24"/>
              </w:rPr>
              <w:t>Parts per billion</w:t>
            </w:r>
          </w:p>
        </w:tc>
      </w:tr>
      <w:tr w:rsidR="0065509E" w:rsidRPr="00611C5A" w14:paraId="649936CE" w14:textId="77777777" w:rsidTr="0065509E">
        <w:tc>
          <w:tcPr>
            <w:tcW w:w="1806" w:type="dxa"/>
          </w:tcPr>
          <w:p w14:paraId="319C95EE" w14:textId="77777777" w:rsidR="0065509E" w:rsidRPr="00AD6B38" w:rsidRDefault="0065509E" w:rsidP="0065509E">
            <w:pPr>
              <w:rPr>
                <w:rFonts w:cs="Arial"/>
                <w:szCs w:val="24"/>
              </w:rPr>
            </w:pPr>
            <w:r w:rsidRPr="00AD6B38">
              <w:rPr>
                <w:rFonts w:cs="Arial"/>
                <w:szCs w:val="24"/>
              </w:rPr>
              <w:t>WSCC</w:t>
            </w:r>
          </w:p>
        </w:tc>
        <w:tc>
          <w:tcPr>
            <w:tcW w:w="7220" w:type="dxa"/>
          </w:tcPr>
          <w:p w14:paraId="5F308CDF" w14:textId="77777777" w:rsidR="0065509E" w:rsidRPr="00AD6B38" w:rsidRDefault="0065509E" w:rsidP="0065509E">
            <w:pPr>
              <w:rPr>
                <w:rFonts w:cs="Arial"/>
                <w:szCs w:val="24"/>
              </w:rPr>
            </w:pPr>
            <w:r w:rsidRPr="00AD6B38">
              <w:rPr>
                <w:rFonts w:cs="Arial"/>
                <w:szCs w:val="24"/>
              </w:rPr>
              <w:t>West Sussex County Council</w:t>
            </w:r>
          </w:p>
        </w:tc>
      </w:tr>
      <w:tr w:rsidR="0065509E" w:rsidRPr="00611C5A" w14:paraId="7BD61711" w14:textId="77777777" w:rsidTr="0065509E">
        <w:tc>
          <w:tcPr>
            <w:tcW w:w="1806" w:type="dxa"/>
          </w:tcPr>
          <w:p w14:paraId="68D06EAD" w14:textId="6349B906" w:rsidR="0065509E" w:rsidRPr="00AD6B38" w:rsidRDefault="0065509E" w:rsidP="0065509E">
            <w:pPr>
              <w:rPr>
                <w:rFonts w:cs="Arial"/>
                <w:szCs w:val="24"/>
              </w:rPr>
            </w:pPr>
          </w:p>
        </w:tc>
        <w:tc>
          <w:tcPr>
            <w:tcW w:w="7220" w:type="dxa"/>
          </w:tcPr>
          <w:p w14:paraId="1F32D305" w14:textId="32C8FAC9" w:rsidR="0065509E" w:rsidRPr="00AD6B38" w:rsidRDefault="0065509E" w:rsidP="0065509E">
            <w:pPr>
              <w:rPr>
                <w:rFonts w:cs="Arial"/>
                <w:szCs w:val="24"/>
              </w:rPr>
            </w:pPr>
          </w:p>
        </w:tc>
      </w:tr>
    </w:tbl>
    <w:p w14:paraId="64D856F9" w14:textId="77777777" w:rsidR="001205CC" w:rsidRDefault="001205CC">
      <w:pPr>
        <w:rPr>
          <w:b/>
        </w:rPr>
      </w:pPr>
    </w:p>
    <w:p w14:paraId="5A8D7C00" w14:textId="77777777" w:rsidR="007B506E" w:rsidRDefault="007B506E">
      <w:pPr>
        <w:rPr>
          <w:b/>
        </w:rPr>
      </w:pPr>
    </w:p>
    <w:p w14:paraId="00DAFB46" w14:textId="77777777" w:rsidR="007B506E" w:rsidRDefault="007B506E">
      <w:pPr>
        <w:rPr>
          <w:b/>
        </w:rPr>
      </w:pPr>
      <w:r>
        <w:rPr>
          <w:b/>
        </w:rPr>
        <w:br w:type="page"/>
      </w:r>
    </w:p>
    <w:p w14:paraId="6BE655CA" w14:textId="77777777" w:rsidR="00104A71" w:rsidRDefault="00104A71" w:rsidP="00F50085">
      <w:pPr>
        <w:pStyle w:val="Heading1"/>
      </w:pPr>
      <w:bookmarkStart w:id="42" w:name="_Toc96511392"/>
      <w:r>
        <w:lastRenderedPageBreak/>
        <w:t xml:space="preserve">Appendix </w:t>
      </w:r>
      <w:r w:rsidR="00F50085">
        <w:t>1</w:t>
      </w:r>
      <w:r>
        <w:t>: Response to Consultation</w:t>
      </w:r>
      <w:bookmarkEnd w:id="42"/>
    </w:p>
    <w:p w14:paraId="7E760A69" w14:textId="12877C15" w:rsidR="00104A71" w:rsidRDefault="00104A71"/>
    <w:p w14:paraId="72AFE613" w14:textId="201F1C9A" w:rsidR="003B47CD" w:rsidRDefault="00023D23">
      <w:r>
        <w:t>See separate reports on website.</w:t>
      </w:r>
    </w:p>
    <w:p w14:paraId="117A5668" w14:textId="77777777" w:rsidR="00104A71" w:rsidRDefault="00104A71">
      <w:r>
        <w:br w:type="page"/>
      </w:r>
    </w:p>
    <w:p w14:paraId="1D519BCA" w14:textId="77777777" w:rsidR="00104A71" w:rsidRPr="00F50085" w:rsidRDefault="00104A71" w:rsidP="00F50085">
      <w:pPr>
        <w:pStyle w:val="Heading1"/>
      </w:pPr>
      <w:bookmarkStart w:id="43" w:name="_Toc96511393"/>
      <w:r w:rsidRPr="00F50085">
        <w:lastRenderedPageBreak/>
        <w:t xml:space="preserve">Appendix </w:t>
      </w:r>
      <w:r w:rsidR="00F50085">
        <w:t>2</w:t>
      </w:r>
      <w:r w:rsidRPr="00F50085">
        <w:t>: Reasons for Not Pursuing Action Plan Measures</w:t>
      </w:r>
      <w:bookmarkEnd w:id="43"/>
    </w:p>
    <w:p w14:paraId="5ED25D36" w14:textId="6B6925BB" w:rsidR="00104A71" w:rsidRDefault="00104A71">
      <w:r>
        <w:rPr>
          <w:b/>
        </w:rPr>
        <w:t xml:space="preserve">Table </w:t>
      </w:r>
      <w:r w:rsidR="00083942">
        <w:rPr>
          <w:b/>
        </w:rPr>
        <w:t>14</w:t>
      </w:r>
      <w:r>
        <w:rPr>
          <w:b/>
        </w:rPr>
        <w:t>: Action Plan Measures Not Pursued and the Reasons for that Decision</w:t>
      </w:r>
    </w:p>
    <w:p w14:paraId="474ECFBC" w14:textId="77777777" w:rsidR="00BB23A5" w:rsidRPr="00BB23A5" w:rsidRDefault="00BB23A5" w:rsidP="00BB23A5">
      <w:pPr>
        <w:pStyle w:val="Caption"/>
        <w:keepNext/>
        <w:spacing w:after="0"/>
        <w:rPr>
          <w:b w:val="0"/>
          <w:bCs w:val="0"/>
          <w:color w:val="auto"/>
          <w:sz w:val="22"/>
          <w:szCs w:val="22"/>
        </w:rPr>
      </w:pPr>
      <w:r w:rsidRPr="00BB23A5">
        <w:rPr>
          <w:bCs w:val="0"/>
          <w:color w:val="auto"/>
          <w:sz w:val="22"/>
          <w:szCs w:val="22"/>
        </w:rPr>
        <w:t xml:space="preserve">Table </w:t>
      </w:r>
      <w:r w:rsidRPr="00BB23A5">
        <w:rPr>
          <w:bCs w:val="0"/>
          <w:color w:val="auto"/>
          <w:sz w:val="22"/>
          <w:szCs w:val="22"/>
        </w:rPr>
        <w:fldChar w:fldCharType="begin"/>
      </w:r>
      <w:r w:rsidRPr="00BB23A5">
        <w:rPr>
          <w:bCs w:val="0"/>
          <w:color w:val="auto"/>
          <w:sz w:val="22"/>
          <w:szCs w:val="22"/>
        </w:rPr>
        <w:instrText xml:space="preserve"> SEQ Table \* ARABIC </w:instrText>
      </w:r>
      <w:r w:rsidRPr="00BB23A5">
        <w:rPr>
          <w:bCs w:val="0"/>
          <w:color w:val="auto"/>
          <w:sz w:val="22"/>
          <w:szCs w:val="22"/>
        </w:rPr>
        <w:fldChar w:fldCharType="separate"/>
      </w:r>
      <w:r w:rsidR="00947DF1">
        <w:rPr>
          <w:bCs w:val="0"/>
          <w:noProof/>
          <w:color w:val="auto"/>
          <w:sz w:val="22"/>
          <w:szCs w:val="22"/>
        </w:rPr>
        <w:t>14</w:t>
      </w:r>
      <w:r w:rsidRPr="00BB23A5">
        <w:rPr>
          <w:bCs w:val="0"/>
          <w:color w:val="auto"/>
          <w:sz w:val="22"/>
          <w:szCs w:val="22"/>
        </w:rPr>
        <w:fldChar w:fldCharType="end"/>
      </w:r>
      <w:r w:rsidRPr="00BB23A5">
        <w:rPr>
          <w:bCs w:val="0"/>
          <w:color w:val="auto"/>
          <w:sz w:val="22"/>
          <w:szCs w:val="22"/>
        </w:rPr>
        <w:t>:</w:t>
      </w:r>
      <w:r w:rsidRPr="00BB23A5">
        <w:rPr>
          <w:b w:val="0"/>
          <w:bCs w:val="0"/>
          <w:color w:val="auto"/>
          <w:sz w:val="22"/>
          <w:szCs w:val="22"/>
        </w:rPr>
        <w:t xml:space="preserve"> Action Plan Measures Not Pursued and the Reasons for that Decision</w:t>
      </w:r>
      <w:r>
        <w:rPr>
          <w:b w:val="0"/>
          <w:bCs w:val="0"/>
          <w:color w:val="auto"/>
          <w:sz w:val="22"/>
          <w:szCs w:val="22"/>
        </w:rPr>
        <w:t>:</w:t>
      </w:r>
    </w:p>
    <w:tbl>
      <w:tblPr>
        <w:tblStyle w:val="TableGrid"/>
        <w:tblW w:w="0" w:type="auto"/>
        <w:tblLook w:val="04A0" w:firstRow="1" w:lastRow="0" w:firstColumn="1" w:lastColumn="0" w:noHBand="0" w:noVBand="1"/>
      </w:tblPr>
      <w:tblGrid>
        <w:gridCol w:w="3001"/>
        <w:gridCol w:w="2989"/>
        <w:gridCol w:w="3026"/>
      </w:tblGrid>
      <w:tr w:rsidR="00104A71" w14:paraId="602E8803" w14:textId="77777777" w:rsidTr="00C8232C">
        <w:tc>
          <w:tcPr>
            <w:tcW w:w="3001" w:type="dxa"/>
          </w:tcPr>
          <w:p w14:paraId="35844773" w14:textId="77777777" w:rsidR="00104A71" w:rsidRPr="00104A71" w:rsidRDefault="00104A71">
            <w:pPr>
              <w:rPr>
                <w:b/>
              </w:rPr>
            </w:pPr>
            <w:r w:rsidRPr="00104A71">
              <w:rPr>
                <w:b/>
              </w:rPr>
              <w:t>Action Category</w:t>
            </w:r>
          </w:p>
        </w:tc>
        <w:tc>
          <w:tcPr>
            <w:tcW w:w="2989" w:type="dxa"/>
          </w:tcPr>
          <w:p w14:paraId="2EB5CCB0" w14:textId="77777777" w:rsidR="00104A71" w:rsidRDefault="00104A71" w:rsidP="00104A71">
            <w:pPr>
              <w:rPr>
                <w:b/>
              </w:rPr>
            </w:pPr>
            <w:r>
              <w:rPr>
                <w:b/>
              </w:rPr>
              <w:t>Action Description</w:t>
            </w:r>
          </w:p>
        </w:tc>
        <w:tc>
          <w:tcPr>
            <w:tcW w:w="3026" w:type="dxa"/>
          </w:tcPr>
          <w:p w14:paraId="0F7A4179" w14:textId="77777777" w:rsidR="00104A71" w:rsidRDefault="00104A71">
            <w:pPr>
              <w:rPr>
                <w:b/>
              </w:rPr>
            </w:pPr>
            <w:r>
              <w:rPr>
                <w:b/>
              </w:rPr>
              <w:t xml:space="preserve">Reason Action is not being pursued </w:t>
            </w:r>
            <w:r w:rsidR="00A26849">
              <w:rPr>
                <w:b/>
              </w:rPr>
              <w:t>(</w:t>
            </w:r>
            <w:r>
              <w:rPr>
                <w:b/>
              </w:rPr>
              <w:t>including Stakeholder views</w:t>
            </w:r>
            <w:r w:rsidR="00A26849">
              <w:rPr>
                <w:b/>
              </w:rPr>
              <w:t xml:space="preserve"> (WSCC Highways)</w:t>
            </w:r>
            <w:r>
              <w:rPr>
                <w:b/>
              </w:rPr>
              <w:t>)</w:t>
            </w:r>
          </w:p>
        </w:tc>
      </w:tr>
      <w:tr w:rsidR="00104A71" w14:paraId="389F8E76" w14:textId="77777777" w:rsidTr="00C8232C">
        <w:tc>
          <w:tcPr>
            <w:tcW w:w="3001" w:type="dxa"/>
          </w:tcPr>
          <w:p w14:paraId="7424B8BF" w14:textId="77777777" w:rsidR="00104A71" w:rsidRPr="00CA4CC6" w:rsidRDefault="00CA4CC6">
            <w:r w:rsidRPr="00CA4CC6">
              <w:t>Sustainable transport</w:t>
            </w:r>
          </w:p>
        </w:tc>
        <w:tc>
          <w:tcPr>
            <w:tcW w:w="2989" w:type="dxa"/>
          </w:tcPr>
          <w:p w14:paraId="3FD0798A" w14:textId="3B03EE3D" w:rsidR="00104A71" w:rsidRPr="00CA4CC6" w:rsidRDefault="00CA4CC6">
            <w:r w:rsidRPr="00CA4CC6">
              <w:t>Provision of e</w:t>
            </w:r>
            <w:r w:rsidR="005D48B8">
              <w:t xml:space="preserve">lectric </w:t>
            </w:r>
            <w:r w:rsidRPr="00CA4CC6">
              <w:t>scooter hire</w:t>
            </w:r>
          </w:p>
        </w:tc>
        <w:tc>
          <w:tcPr>
            <w:tcW w:w="3026" w:type="dxa"/>
          </w:tcPr>
          <w:p w14:paraId="3BD36A3E" w14:textId="77777777" w:rsidR="00104A71" w:rsidRPr="00CA4CC6" w:rsidRDefault="00CA4CC6" w:rsidP="00A26849">
            <w:r w:rsidRPr="00CA4CC6">
              <w:t>escooters are not yet legal on the Highway (including the footway)</w:t>
            </w:r>
            <w:r w:rsidR="00A26849">
              <w:t>. Some of Midhurst’s pavement is unsuitable for escooters (features cobbles).</w:t>
            </w:r>
          </w:p>
        </w:tc>
      </w:tr>
      <w:tr w:rsidR="00104A71" w14:paraId="064E2CEB" w14:textId="77777777" w:rsidTr="00C8232C">
        <w:tc>
          <w:tcPr>
            <w:tcW w:w="3001" w:type="dxa"/>
          </w:tcPr>
          <w:p w14:paraId="5C2918B6" w14:textId="77777777" w:rsidR="00104A71" w:rsidRPr="00CA4CC6" w:rsidRDefault="00CA4CC6">
            <w:r w:rsidRPr="00CA4CC6">
              <w:t>Reviewing parking charges</w:t>
            </w:r>
          </w:p>
        </w:tc>
        <w:tc>
          <w:tcPr>
            <w:tcW w:w="2989" w:type="dxa"/>
          </w:tcPr>
          <w:p w14:paraId="2FA5E1C6" w14:textId="77777777" w:rsidR="00104A71" w:rsidRPr="00CA4CC6" w:rsidRDefault="00CA4CC6">
            <w:r w:rsidRPr="00CA4CC6">
              <w:t>Differential parking charges to favour EVs</w:t>
            </w:r>
          </w:p>
        </w:tc>
        <w:tc>
          <w:tcPr>
            <w:tcW w:w="3026" w:type="dxa"/>
          </w:tcPr>
          <w:p w14:paraId="09D332BD" w14:textId="77777777" w:rsidR="00104A71" w:rsidRPr="00CA4CC6" w:rsidRDefault="00CA4CC6" w:rsidP="00CA4CC6">
            <w:r w:rsidRPr="00CA4CC6">
              <w:t xml:space="preserve">EVs are no longer a </w:t>
            </w:r>
            <w:r>
              <w:t>novel product and are predicted to reach price point parity within two years. No market subsidy in the form of parking charges is required to now ensure their success. CDC has previously provided free parking and electricity at two 3kW charge points which in 2017 led to complaints about access to the EV charge points (demand out-stripped supply).</w:t>
            </w:r>
          </w:p>
        </w:tc>
      </w:tr>
      <w:tr w:rsidR="001D298E" w14:paraId="17315E30" w14:textId="77777777" w:rsidTr="00C8232C">
        <w:tc>
          <w:tcPr>
            <w:tcW w:w="3001" w:type="dxa"/>
          </w:tcPr>
          <w:p w14:paraId="12DC2BA7" w14:textId="77777777" w:rsidR="001D298E" w:rsidRPr="00CA4CC6" w:rsidRDefault="00A26849">
            <w:r>
              <w:t>Highways improvements</w:t>
            </w:r>
          </w:p>
        </w:tc>
        <w:tc>
          <w:tcPr>
            <w:tcW w:w="2989" w:type="dxa"/>
          </w:tcPr>
          <w:p w14:paraId="23836D87" w14:textId="77777777" w:rsidR="001D298E" w:rsidRPr="00CA4CC6" w:rsidRDefault="001D298E">
            <w:r>
              <w:t>Traffic lights at either end of Rumbolds Hill</w:t>
            </w:r>
          </w:p>
        </w:tc>
        <w:tc>
          <w:tcPr>
            <w:tcW w:w="3026" w:type="dxa"/>
          </w:tcPr>
          <w:p w14:paraId="040D8EF1" w14:textId="77777777" w:rsidR="001D298E" w:rsidRPr="00CA4CC6" w:rsidRDefault="001D298E" w:rsidP="001D298E">
            <w:r>
              <w:t>Potential significant concerns due to knock on impacts on traffic congestion/queuing in Midhurst due to inter-green time for traffic held across at least 3 if not 4 arms of the roundabout (depending on approach to accessing West St)</w:t>
            </w:r>
          </w:p>
        </w:tc>
      </w:tr>
      <w:tr w:rsidR="001D298E" w14:paraId="6E59F6DE" w14:textId="77777777" w:rsidTr="00C8232C">
        <w:tc>
          <w:tcPr>
            <w:tcW w:w="3001" w:type="dxa"/>
          </w:tcPr>
          <w:p w14:paraId="5BF71879" w14:textId="77777777" w:rsidR="001D298E" w:rsidRPr="00CA4CC6" w:rsidRDefault="00A26849">
            <w:r>
              <w:t>Highways improvements</w:t>
            </w:r>
          </w:p>
        </w:tc>
        <w:tc>
          <w:tcPr>
            <w:tcW w:w="2989" w:type="dxa"/>
          </w:tcPr>
          <w:p w14:paraId="3172CD46" w14:textId="77777777" w:rsidR="001D298E" w:rsidRPr="00CA4CC6" w:rsidRDefault="001D298E">
            <w:r>
              <w:t>Widening pinch point on Rumbolds Hill - Nat West Bank currently vacant.</w:t>
            </w:r>
          </w:p>
        </w:tc>
        <w:tc>
          <w:tcPr>
            <w:tcW w:w="3026" w:type="dxa"/>
          </w:tcPr>
          <w:p w14:paraId="1C39BED0" w14:textId="77777777" w:rsidR="001D298E" w:rsidRPr="00CA4CC6" w:rsidRDefault="001D298E" w:rsidP="00A26849">
            <w:r>
              <w:t>Un-realis</w:t>
            </w:r>
            <w:r w:rsidR="00A26849">
              <w:t>tic and over-scale for the AQAP especially as air quality is predicted to achieve compliance.</w:t>
            </w:r>
          </w:p>
        </w:tc>
      </w:tr>
      <w:tr w:rsidR="001D298E" w14:paraId="22A78BD6" w14:textId="77777777" w:rsidTr="00C8232C">
        <w:tc>
          <w:tcPr>
            <w:tcW w:w="3001" w:type="dxa"/>
          </w:tcPr>
          <w:p w14:paraId="0C60A387" w14:textId="77777777" w:rsidR="001D298E" w:rsidRPr="00CA4CC6" w:rsidRDefault="001D298E"/>
        </w:tc>
        <w:tc>
          <w:tcPr>
            <w:tcW w:w="2989" w:type="dxa"/>
          </w:tcPr>
          <w:p w14:paraId="726E35B3" w14:textId="77777777" w:rsidR="001D298E" w:rsidRDefault="001D298E">
            <w:r>
              <w:t>Re-routing of large HGV’s away from A272.    </w:t>
            </w:r>
          </w:p>
        </w:tc>
        <w:tc>
          <w:tcPr>
            <w:tcW w:w="3026" w:type="dxa"/>
          </w:tcPr>
          <w:p w14:paraId="090F150F" w14:textId="77777777" w:rsidR="001D298E" w:rsidRDefault="001D298E" w:rsidP="001D298E">
            <w:r>
              <w:t>A272 is part of the West Sussex advisory lorry route network as it is the most appropriate route of those available for HGV movements in the area.</w:t>
            </w:r>
          </w:p>
        </w:tc>
      </w:tr>
    </w:tbl>
    <w:p w14:paraId="10AC4ABD" w14:textId="77777777" w:rsidR="00104A71" w:rsidRDefault="00104A71">
      <w:pPr>
        <w:rPr>
          <w:b/>
        </w:rPr>
      </w:pPr>
      <w:r>
        <w:rPr>
          <w:b/>
        </w:rPr>
        <w:br w:type="page"/>
      </w:r>
    </w:p>
    <w:p w14:paraId="3CBBFEC4" w14:textId="77777777" w:rsidR="00CA4CC6" w:rsidRPr="00F50085" w:rsidRDefault="00CA4CC6" w:rsidP="00F50085">
      <w:pPr>
        <w:pStyle w:val="Heading1"/>
      </w:pPr>
      <w:bookmarkStart w:id="44" w:name="_Toc96511394"/>
      <w:r>
        <w:lastRenderedPageBreak/>
        <w:t xml:space="preserve">Appendix </w:t>
      </w:r>
      <w:r w:rsidR="00F50085">
        <w:t>3</w:t>
      </w:r>
      <w:r>
        <w:t xml:space="preserve">: </w:t>
      </w:r>
      <w:r w:rsidRPr="00F50085">
        <w:t>Rumbolds Hill, Air Quality Management Area</w:t>
      </w:r>
      <w:bookmarkEnd w:id="44"/>
    </w:p>
    <w:p w14:paraId="13297155" w14:textId="77777777" w:rsidR="00CA4CC6" w:rsidRDefault="00CA4CC6" w:rsidP="00CA4CC6">
      <w:pPr>
        <w:rPr>
          <w:b/>
        </w:rPr>
      </w:pPr>
      <w:r w:rsidRPr="00305BF7">
        <w:rPr>
          <w:b/>
        </w:rPr>
        <w:t xml:space="preserve">Ideas for inclusion in the Air Quality Action Plan for </w:t>
      </w:r>
      <w:r>
        <w:rPr>
          <w:b/>
        </w:rPr>
        <w:t>Midhurst (</w:t>
      </w:r>
      <w:r w:rsidRPr="00305BF7">
        <w:rPr>
          <w:b/>
        </w:rPr>
        <w:t>Ch</w:t>
      </w:r>
      <w:r>
        <w:rPr>
          <w:b/>
        </w:rPr>
        <w:t>ichester District):</w:t>
      </w:r>
      <w:r w:rsidRPr="00305BF7">
        <w:rPr>
          <w:b/>
        </w:rPr>
        <w:t xml:space="preserve"> </w:t>
      </w:r>
    </w:p>
    <w:p w14:paraId="37ED9256" w14:textId="77777777" w:rsidR="00201F61" w:rsidRPr="00201F61" w:rsidRDefault="00201F61" w:rsidP="00201F61">
      <w:pPr>
        <w:spacing w:after="0"/>
      </w:pPr>
      <w:r>
        <w:t>CDC o</w:t>
      </w:r>
      <w:r w:rsidRPr="00201F61">
        <w:t xml:space="preserve">fficers </w:t>
      </w:r>
      <w:r>
        <w:t>attended the Midhurst Vision Group and discussed the AQAP for Midhurst with individual CDC and WSCC councillors and SDNPA officers. Ideas harvested from both those meetings and related correspondence were discussed with WSCC. The resulting air quality actions are listed as below:</w:t>
      </w:r>
    </w:p>
    <w:p w14:paraId="3013B985" w14:textId="77777777" w:rsidR="00CA4CC6" w:rsidRDefault="00CA4CC6" w:rsidP="00CA4CC6">
      <w:pPr>
        <w:pStyle w:val="NormalWeb"/>
        <w:numPr>
          <w:ilvl w:val="0"/>
          <w:numId w:val="20"/>
        </w:numPr>
        <w:spacing w:before="0" w:beforeAutospacing="0" w:after="0" w:afterAutospacing="0"/>
        <w:rPr>
          <w:rFonts w:ascii="Calibri" w:hAnsi="Calibri"/>
          <w:sz w:val="22"/>
          <w:szCs w:val="22"/>
        </w:rPr>
      </w:pPr>
      <w:r>
        <w:rPr>
          <w:rFonts w:ascii="Calibri" w:hAnsi="Calibri"/>
          <w:sz w:val="22"/>
          <w:szCs w:val="22"/>
        </w:rPr>
        <w:t>Car-sharing / car-club</w:t>
      </w:r>
    </w:p>
    <w:p w14:paraId="7FC0F9B5" w14:textId="77777777" w:rsidR="00CA4CC6" w:rsidRDefault="00CA4CC6" w:rsidP="00CA4CC6">
      <w:pPr>
        <w:pStyle w:val="NormalWeb"/>
        <w:numPr>
          <w:ilvl w:val="0"/>
          <w:numId w:val="20"/>
        </w:numPr>
        <w:spacing w:before="0" w:beforeAutospacing="0" w:after="0" w:afterAutospacing="0"/>
        <w:rPr>
          <w:rFonts w:ascii="Calibri" w:hAnsi="Calibri"/>
          <w:sz w:val="22"/>
          <w:szCs w:val="22"/>
        </w:rPr>
      </w:pPr>
      <w:r>
        <w:rPr>
          <w:rFonts w:ascii="Calibri" w:hAnsi="Calibri"/>
          <w:sz w:val="22"/>
          <w:szCs w:val="22"/>
        </w:rPr>
        <w:t xml:space="preserve">Ongoing development and delivery of Midhurst Greenway </w:t>
      </w:r>
    </w:p>
    <w:p w14:paraId="29387F27" w14:textId="77777777" w:rsidR="00CA4CC6" w:rsidRDefault="00CA4CC6" w:rsidP="00CA4CC6">
      <w:pPr>
        <w:pStyle w:val="ListParagraph"/>
        <w:numPr>
          <w:ilvl w:val="0"/>
          <w:numId w:val="20"/>
        </w:numPr>
        <w:spacing w:after="0"/>
      </w:pPr>
      <w:r>
        <w:t>Promote use of the car parks</w:t>
      </w:r>
    </w:p>
    <w:p w14:paraId="7772D24E" w14:textId="77777777" w:rsidR="00CA4CC6" w:rsidRDefault="00CA4CC6" w:rsidP="00CA4CC6">
      <w:pPr>
        <w:pStyle w:val="ListParagraph"/>
        <w:numPr>
          <w:ilvl w:val="0"/>
          <w:numId w:val="20"/>
        </w:numPr>
        <w:spacing w:after="0"/>
      </w:pPr>
      <w:r>
        <w:t>Employ a traffic consultant to review Rumbolds Hill and Midhurst High Street (for; goods deliveries, potential for cycling on North Street, novel use of space to better manage delivery traffic, placement of street furniture to discourage parking in selected locations, short-term parking on Church Hill by TRO, Review pedestrian crossings’ timing and sequencing, retractable bollards on North Street to prevent people parking in delivery bays, Make Church Hill junction left in left out only and a signed priority system at Rumbolds Hill.</w:t>
      </w:r>
    </w:p>
    <w:p w14:paraId="0AFB040F" w14:textId="77777777" w:rsidR="00CA4CC6" w:rsidRDefault="00CA4CC6" w:rsidP="00CA4CC6">
      <w:pPr>
        <w:pStyle w:val="ListParagraph"/>
        <w:numPr>
          <w:ilvl w:val="0"/>
          <w:numId w:val="20"/>
        </w:numPr>
        <w:spacing w:after="0"/>
      </w:pPr>
      <w:r>
        <w:t>Further develop the SDNPA LCWIP for Midhurst (including Jubilee Path informal crossing)</w:t>
      </w:r>
    </w:p>
    <w:p w14:paraId="5AD76187" w14:textId="77777777" w:rsidR="00CA4CC6" w:rsidRDefault="00CA4CC6" w:rsidP="00CA4CC6">
      <w:pPr>
        <w:pStyle w:val="ListParagraph"/>
        <w:numPr>
          <w:ilvl w:val="0"/>
          <w:numId w:val="20"/>
        </w:numPr>
        <w:spacing w:after="0"/>
      </w:pPr>
      <w:r>
        <w:t>Anti-idling campaigns</w:t>
      </w:r>
    </w:p>
    <w:p w14:paraId="13C56D15" w14:textId="77777777" w:rsidR="00CA4CC6" w:rsidRDefault="00CA4CC6" w:rsidP="00CA4CC6">
      <w:pPr>
        <w:pStyle w:val="ListParagraph"/>
        <w:numPr>
          <w:ilvl w:val="0"/>
          <w:numId w:val="20"/>
        </w:numPr>
        <w:spacing w:after="0"/>
      </w:pPr>
      <w:r>
        <w:t>Review parking charges</w:t>
      </w:r>
    </w:p>
    <w:p w14:paraId="17F68DD5" w14:textId="77777777" w:rsidR="00CA4CC6" w:rsidRDefault="00CA4CC6" w:rsidP="00CA4CC6">
      <w:pPr>
        <w:pStyle w:val="ListParagraph"/>
        <w:numPr>
          <w:ilvl w:val="0"/>
          <w:numId w:val="20"/>
        </w:numPr>
        <w:spacing w:after="0"/>
      </w:pPr>
      <w:r>
        <w:t>Increase parking enforcement</w:t>
      </w:r>
    </w:p>
    <w:p w14:paraId="68ABD7A1" w14:textId="77777777" w:rsidR="00CA4CC6" w:rsidRDefault="00CA4CC6" w:rsidP="00CA4CC6">
      <w:pPr>
        <w:pStyle w:val="ListParagraph"/>
        <w:numPr>
          <w:ilvl w:val="0"/>
          <w:numId w:val="20"/>
        </w:numPr>
        <w:spacing w:after="0"/>
      </w:pPr>
      <w:r>
        <w:t>Active travel plan for Midhurst</w:t>
      </w:r>
    </w:p>
    <w:p w14:paraId="237C1E9F" w14:textId="77777777" w:rsidR="00CA4CC6" w:rsidRDefault="00CA4CC6" w:rsidP="00CA4CC6">
      <w:pPr>
        <w:pStyle w:val="ListParagraph"/>
        <w:numPr>
          <w:ilvl w:val="0"/>
          <w:numId w:val="20"/>
        </w:numPr>
        <w:spacing w:after="0"/>
      </w:pPr>
      <w:r>
        <w:t>Encourage the use of electric vehicles, cycling and walking</w:t>
      </w:r>
    </w:p>
    <w:p w14:paraId="6BAF7926" w14:textId="77777777" w:rsidR="00CA4CC6" w:rsidRDefault="00CA4CC6" w:rsidP="00CA4CC6">
      <w:pPr>
        <w:spacing w:after="0"/>
      </w:pPr>
    </w:p>
    <w:p w14:paraId="45C79A45" w14:textId="77777777" w:rsidR="00CA4CC6" w:rsidRPr="00305BF7" w:rsidRDefault="00CA4CC6" w:rsidP="00CA4CC6">
      <w:pPr>
        <w:rPr>
          <w:b/>
        </w:rPr>
      </w:pPr>
      <w:r w:rsidRPr="00305BF7">
        <w:rPr>
          <w:b/>
        </w:rPr>
        <w:t xml:space="preserve">Ideas proposed by the group but rejected for inclusion in the Air Quality Action Plan: </w:t>
      </w:r>
    </w:p>
    <w:tbl>
      <w:tblPr>
        <w:tblStyle w:val="TableGrid"/>
        <w:tblW w:w="0" w:type="auto"/>
        <w:tblLook w:val="04A0" w:firstRow="1" w:lastRow="0" w:firstColumn="1" w:lastColumn="0" w:noHBand="0" w:noVBand="1"/>
      </w:tblPr>
      <w:tblGrid>
        <w:gridCol w:w="4509"/>
        <w:gridCol w:w="4507"/>
      </w:tblGrid>
      <w:tr w:rsidR="00CA4CC6" w14:paraId="29CC3610" w14:textId="77777777" w:rsidTr="00BB23A5">
        <w:tc>
          <w:tcPr>
            <w:tcW w:w="4621" w:type="dxa"/>
          </w:tcPr>
          <w:p w14:paraId="15761F76" w14:textId="77777777" w:rsidR="00CA4CC6" w:rsidRPr="006B2F54" w:rsidRDefault="00CA4CC6" w:rsidP="00BB23A5">
            <w:pPr>
              <w:rPr>
                <w:b/>
              </w:rPr>
            </w:pPr>
            <w:r w:rsidRPr="006B2F54">
              <w:rPr>
                <w:b/>
              </w:rPr>
              <w:t>Suggestion:</w:t>
            </w:r>
          </w:p>
        </w:tc>
        <w:tc>
          <w:tcPr>
            <w:tcW w:w="4621" w:type="dxa"/>
          </w:tcPr>
          <w:p w14:paraId="6FA1B5E6" w14:textId="77777777" w:rsidR="00CA4CC6" w:rsidRPr="006B2F54" w:rsidRDefault="00CA4CC6" w:rsidP="00BB23A5">
            <w:pPr>
              <w:rPr>
                <w:b/>
              </w:rPr>
            </w:pPr>
            <w:r w:rsidRPr="006B2F54">
              <w:rPr>
                <w:b/>
              </w:rPr>
              <w:t>Reason for being rejected for inclusion in the AQAP:</w:t>
            </w:r>
          </w:p>
        </w:tc>
      </w:tr>
      <w:tr w:rsidR="00CA4CC6" w14:paraId="0AF309FC" w14:textId="77777777" w:rsidTr="00BB23A5">
        <w:tc>
          <w:tcPr>
            <w:tcW w:w="4621" w:type="dxa"/>
          </w:tcPr>
          <w:p w14:paraId="1A42C0E2" w14:textId="77777777" w:rsidR="00CA4CC6" w:rsidRDefault="00CA4CC6" w:rsidP="00BB23A5">
            <w:r w:rsidRPr="00305BF7">
              <w:t>To completely remove all car parking in North Street and only allow deliveries.</w:t>
            </w:r>
          </w:p>
        </w:tc>
        <w:tc>
          <w:tcPr>
            <w:tcW w:w="4621" w:type="dxa"/>
          </w:tcPr>
          <w:p w14:paraId="0DEE5301" w14:textId="77777777" w:rsidR="00CA4CC6" w:rsidRDefault="00CA4CC6" w:rsidP="00BB23A5">
            <w:r>
              <w:t xml:space="preserve">Would potentially pose issues for persons with mobility issues.  </w:t>
            </w:r>
          </w:p>
        </w:tc>
      </w:tr>
      <w:tr w:rsidR="00CA4CC6" w14:paraId="3D27708A" w14:textId="77777777" w:rsidTr="00BB23A5">
        <w:tc>
          <w:tcPr>
            <w:tcW w:w="4621" w:type="dxa"/>
          </w:tcPr>
          <w:p w14:paraId="28D2BA00" w14:textId="77777777" w:rsidR="00CA4CC6" w:rsidRDefault="00CA4CC6" w:rsidP="00BB23A5">
            <w:r>
              <w:t>Creation of a town bypass.</w:t>
            </w:r>
          </w:p>
        </w:tc>
        <w:tc>
          <w:tcPr>
            <w:tcW w:w="4621" w:type="dxa"/>
          </w:tcPr>
          <w:p w14:paraId="37366758" w14:textId="77777777" w:rsidR="00CA4CC6" w:rsidRDefault="00CA4CC6" w:rsidP="00BB23A5">
            <w:r>
              <w:t>Over-scale for the AQAP.</w:t>
            </w:r>
          </w:p>
        </w:tc>
      </w:tr>
      <w:tr w:rsidR="00CA4CC6" w14:paraId="19D36017" w14:textId="77777777" w:rsidTr="00BB23A5">
        <w:tc>
          <w:tcPr>
            <w:tcW w:w="4621" w:type="dxa"/>
          </w:tcPr>
          <w:p w14:paraId="2D15223E" w14:textId="77777777" w:rsidR="00CA4CC6" w:rsidRDefault="00CA4CC6" w:rsidP="00BB23A5">
            <w:r>
              <w:t>Expand North Street car park behind North Street.</w:t>
            </w:r>
          </w:p>
        </w:tc>
        <w:tc>
          <w:tcPr>
            <w:tcW w:w="4621" w:type="dxa"/>
          </w:tcPr>
          <w:p w14:paraId="1ECF82A3" w14:textId="77777777" w:rsidR="00CA4CC6" w:rsidRDefault="00CA4CC6" w:rsidP="00BB23A5">
            <w:r>
              <w:t>It is not clear that this would have any significant benefit for air quality.</w:t>
            </w:r>
          </w:p>
        </w:tc>
      </w:tr>
      <w:tr w:rsidR="00CA4CC6" w14:paraId="6F81D7A7" w14:textId="77777777" w:rsidTr="00BB23A5">
        <w:tc>
          <w:tcPr>
            <w:tcW w:w="4621" w:type="dxa"/>
          </w:tcPr>
          <w:p w14:paraId="5D1A00A9" w14:textId="77777777" w:rsidR="00CA4CC6" w:rsidRDefault="00CA4CC6" w:rsidP="00BB23A5">
            <w:r>
              <w:t>Traffic lights at either end of Rumbolds Hill</w:t>
            </w:r>
          </w:p>
        </w:tc>
        <w:tc>
          <w:tcPr>
            <w:tcW w:w="4621" w:type="dxa"/>
          </w:tcPr>
          <w:p w14:paraId="499836F9" w14:textId="77777777" w:rsidR="00CA4CC6" w:rsidRDefault="00CA4CC6" w:rsidP="00BB23A5">
            <w:r>
              <w:t>Previously rejected by WSCC Highways.</w:t>
            </w:r>
          </w:p>
        </w:tc>
      </w:tr>
      <w:tr w:rsidR="00CA4CC6" w14:paraId="32F49E86" w14:textId="77777777" w:rsidTr="00BB23A5">
        <w:tc>
          <w:tcPr>
            <w:tcW w:w="4621" w:type="dxa"/>
          </w:tcPr>
          <w:p w14:paraId="633B22C5" w14:textId="1E0A716F" w:rsidR="00CA4CC6" w:rsidRDefault="00CA4CC6" w:rsidP="00BB23A5">
            <w:r>
              <w:t>W</w:t>
            </w:r>
            <w:r w:rsidRPr="00305BF7">
              <w:t>idening pinch point on Rumbolds Hill - Nat West Bank currently vacant</w:t>
            </w:r>
            <w:r w:rsidR="009D2E91">
              <w:t xml:space="preserve"> could be compulsorily purchased</w:t>
            </w:r>
            <w:r>
              <w:t>.</w:t>
            </w:r>
          </w:p>
        </w:tc>
        <w:tc>
          <w:tcPr>
            <w:tcW w:w="4621" w:type="dxa"/>
          </w:tcPr>
          <w:p w14:paraId="6EB1B834" w14:textId="77777777" w:rsidR="00CA4CC6" w:rsidRDefault="00CA4CC6" w:rsidP="00BB23A5">
            <w:r>
              <w:t>Un-realistic and over-scale for the AQAP.</w:t>
            </w:r>
          </w:p>
        </w:tc>
      </w:tr>
      <w:tr w:rsidR="00CA4CC6" w14:paraId="1484E2A2" w14:textId="77777777" w:rsidTr="00BB23A5">
        <w:tc>
          <w:tcPr>
            <w:tcW w:w="4621" w:type="dxa"/>
          </w:tcPr>
          <w:p w14:paraId="6D72496D" w14:textId="77777777" w:rsidR="00CA4CC6" w:rsidRPr="00305BF7" w:rsidRDefault="00CA4CC6" w:rsidP="00BB23A5">
            <w:pPr>
              <w:textAlignment w:val="center"/>
            </w:pPr>
            <w:r w:rsidRPr="00305BF7">
              <w:t>Re-routing of large HGV’s away from A272</w:t>
            </w:r>
            <w:r>
              <w:t>.</w:t>
            </w:r>
            <w:r w:rsidRPr="00305BF7">
              <w:t xml:space="preserve">    </w:t>
            </w:r>
          </w:p>
        </w:tc>
        <w:tc>
          <w:tcPr>
            <w:tcW w:w="4621" w:type="dxa"/>
          </w:tcPr>
          <w:p w14:paraId="5477D721" w14:textId="77777777" w:rsidR="00CA4CC6" w:rsidRDefault="00CA4CC6" w:rsidP="00BB23A5">
            <w:r>
              <w:t>Previously rejected by WSCC Highways.</w:t>
            </w:r>
          </w:p>
        </w:tc>
      </w:tr>
      <w:tr w:rsidR="00CA4CC6" w14:paraId="0925D264" w14:textId="77777777" w:rsidTr="00BB23A5">
        <w:tc>
          <w:tcPr>
            <w:tcW w:w="4621" w:type="dxa"/>
          </w:tcPr>
          <w:p w14:paraId="48F72BEE" w14:textId="77777777" w:rsidR="00CA4CC6" w:rsidRPr="00305BF7" w:rsidRDefault="00CA4CC6" w:rsidP="00BB23A5">
            <w:pPr>
              <w:textAlignment w:val="center"/>
            </w:pPr>
            <w:r w:rsidRPr="00305BF7">
              <w:t>Permissive walking route through Cowdray to connect Easebourne to Midhurst</w:t>
            </w:r>
            <w:r>
              <w:t>.</w:t>
            </w:r>
          </w:p>
        </w:tc>
        <w:tc>
          <w:tcPr>
            <w:tcW w:w="4621" w:type="dxa"/>
          </w:tcPr>
          <w:p w14:paraId="4D5D2373" w14:textId="77777777" w:rsidR="00CA4CC6" w:rsidRDefault="00CA4CC6" w:rsidP="00BB23A5">
            <w:r>
              <w:t>This idea requires discussion with the land-owner before it is to be included in a public document. Nevertheless the idea has some merit.</w:t>
            </w:r>
          </w:p>
        </w:tc>
      </w:tr>
      <w:tr w:rsidR="00CA4CC6" w14:paraId="17F3CA4D" w14:textId="77777777" w:rsidTr="00BB23A5">
        <w:tc>
          <w:tcPr>
            <w:tcW w:w="4621" w:type="dxa"/>
          </w:tcPr>
          <w:p w14:paraId="0B04F11E" w14:textId="77777777" w:rsidR="00CA4CC6" w:rsidRPr="00305BF7" w:rsidRDefault="00CA4CC6" w:rsidP="00BB23A5">
            <w:pPr>
              <w:textAlignment w:val="center"/>
            </w:pPr>
            <w:r>
              <w:t>e.scooter hire.</w:t>
            </w:r>
          </w:p>
        </w:tc>
        <w:tc>
          <w:tcPr>
            <w:tcW w:w="4621" w:type="dxa"/>
          </w:tcPr>
          <w:p w14:paraId="57A2B482" w14:textId="77777777" w:rsidR="00CA4CC6" w:rsidRDefault="00CA4CC6" w:rsidP="00BB23A5">
            <w:r w:rsidRPr="00CA4CC6">
              <w:t>escooters are not yet legal on the Highway (including the footway)</w:t>
            </w:r>
          </w:p>
        </w:tc>
      </w:tr>
      <w:tr w:rsidR="004F1360" w14:paraId="02182FA6" w14:textId="77777777" w:rsidTr="00BB23A5">
        <w:tc>
          <w:tcPr>
            <w:tcW w:w="4621" w:type="dxa"/>
          </w:tcPr>
          <w:p w14:paraId="7EA4B519" w14:textId="77777777" w:rsidR="004F1360" w:rsidRDefault="004F1360" w:rsidP="00BB23A5">
            <w:pPr>
              <w:textAlignment w:val="center"/>
            </w:pPr>
            <w:r>
              <w:t>More parking enforcement.</w:t>
            </w:r>
          </w:p>
        </w:tc>
        <w:tc>
          <w:tcPr>
            <w:tcW w:w="4621" w:type="dxa"/>
          </w:tcPr>
          <w:p w14:paraId="0FC48B14" w14:textId="77777777" w:rsidR="004F1360" w:rsidRPr="00CA4CC6" w:rsidRDefault="004F1360" w:rsidP="00BB23A5">
            <w:r>
              <w:t>Beyond the scope of the AQAP. Idea forwarded to CDC Parking Services. This is more of a Parking policy issue.</w:t>
            </w:r>
          </w:p>
        </w:tc>
      </w:tr>
      <w:tr w:rsidR="004F1360" w14:paraId="52C3F5A3" w14:textId="77777777" w:rsidTr="00BB23A5">
        <w:tc>
          <w:tcPr>
            <w:tcW w:w="4621" w:type="dxa"/>
          </w:tcPr>
          <w:p w14:paraId="74E89B50" w14:textId="77777777" w:rsidR="004F1360" w:rsidRDefault="004F1360" w:rsidP="00201F61">
            <w:pPr>
              <w:textAlignment w:val="center"/>
            </w:pPr>
            <w:r>
              <w:lastRenderedPageBreak/>
              <w:t>Parking charge amendments to encourag</w:t>
            </w:r>
            <w:r w:rsidR="00201F61">
              <w:t>e people to park their cars in the</w:t>
            </w:r>
            <w:r>
              <w:t xml:space="preserve"> car parks and not on North Street.</w:t>
            </w:r>
          </w:p>
        </w:tc>
        <w:tc>
          <w:tcPr>
            <w:tcW w:w="4621" w:type="dxa"/>
          </w:tcPr>
          <w:p w14:paraId="1A9B4C1F" w14:textId="77777777" w:rsidR="004F1360" w:rsidRPr="00CA4CC6" w:rsidRDefault="004F1360" w:rsidP="00201F61">
            <w:r>
              <w:t>Idea forwarded to CDC Parking Services. This is a Parking policy issue.</w:t>
            </w:r>
          </w:p>
        </w:tc>
      </w:tr>
    </w:tbl>
    <w:p w14:paraId="42B346C8" w14:textId="77777777" w:rsidR="00CA4CC6" w:rsidRDefault="00CA4CC6" w:rsidP="00CA4CC6"/>
    <w:p w14:paraId="0771406E" w14:textId="77777777" w:rsidR="007B506E" w:rsidRPr="00F50085" w:rsidRDefault="007B506E" w:rsidP="00F50085">
      <w:pPr>
        <w:pStyle w:val="Heading1"/>
      </w:pPr>
      <w:bookmarkStart w:id="45" w:name="_Toc96511395"/>
      <w:r w:rsidRPr="00F50085">
        <w:t xml:space="preserve">Appendix </w:t>
      </w:r>
      <w:r w:rsidR="00F50085">
        <w:t>4</w:t>
      </w:r>
      <w:r w:rsidRPr="00F50085">
        <w:t>: Calculation to determine the Road NOx Emission necessary to achieve compliance at St Pancras, Chichester:</w:t>
      </w:r>
      <w:bookmarkEnd w:id="45"/>
      <w:r w:rsidRPr="00F50085">
        <w:t xml:space="preserve"> </w:t>
      </w:r>
    </w:p>
    <w:p w14:paraId="1EC176DB" w14:textId="77777777" w:rsidR="007B506E" w:rsidRPr="00796FA7" w:rsidRDefault="007B506E">
      <w:pPr>
        <w:rPr>
          <w:rFonts w:ascii="Arial" w:hAnsi="Arial" w:cs="Arial"/>
        </w:rPr>
      </w:pPr>
      <w:r w:rsidRPr="00796FA7">
        <w:rPr>
          <w:rFonts w:ascii="Arial" w:hAnsi="Arial" w:cs="Arial"/>
        </w:rPr>
        <w:t>The calculation is made in accordance with the guidance: DEFRA, Local Air Quality Management, Technical Guidance (TG16), April 2016</w:t>
      </w:r>
      <w:r w:rsidR="007D3B34" w:rsidRPr="00796FA7">
        <w:rPr>
          <w:rFonts w:ascii="Arial" w:hAnsi="Arial" w:cs="Arial"/>
        </w:rPr>
        <w:t xml:space="preserve">, page 16, Box 7.6 (note the method deviates </w:t>
      </w:r>
      <w:r w:rsidR="00796FA7" w:rsidRPr="00796FA7">
        <w:rPr>
          <w:rFonts w:ascii="Arial" w:hAnsi="Arial" w:cs="Arial"/>
        </w:rPr>
        <w:t>from</w:t>
      </w:r>
      <w:r w:rsidR="007D3B34" w:rsidRPr="00796FA7">
        <w:rPr>
          <w:rFonts w:ascii="Arial" w:hAnsi="Arial" w:cs="Arial"/>
        </w:rPr>
        <w:t xml:space="preserve"> the TG(16) but was confirmed by the LAQM</w:t>
      </w:r>
      <w:r w:rsidR="00935DED">
        <w:rPr>
          <w:rFonts w:ascii="Arial" w:hAnsi="Arial" w:cs="Arial"/>
        </w:rPr>
        <w:t xml:space="preserve"> </w:t>
      </w:r>
      <w:r w:rsidR="007D3B34" w:rsidRPr="00796FA7">
        <w:rPr>
          <w:rFonts w:ascii="Arial" w:hAnsi="Arial" w:cs="Arial"/>
        </w:rPr>
        <w:t>Helpdesk 25-11-2020):</w:t>
      </w:r>
    </w:p>
    <w:p w14:paraId="7EF9808D" w14:textId="77777777" w:rsidR="00FD51CB" w:rsidRPr="00FD51CB" w:rsidRDefault="00FD51CB" w:rsidP="00FD30E0">
      <w:pPr>
        <w:rPr>
          <w:rFonts w:ascii="Arial" w:hAnsi="Arial" w:cs="Arial"/>
          <w:b/>
        </w:rPr>
      </w:pPr>
      <w:r w:rsidRPr="00FD51CB">
        <w:rPr>
          <w:rFonts w:ascii="Arial" w:hAnsi="Arial" w:cs="Arial"/>
          <w:b/>
        </w:rPr>
        <w:t>Calculation for 2018 NO</w:t>
      </w:r>
      <w:r w:rsidRPr="00FD51CB">
        <w:rPr>
          <w:rFonts w:ascii="Arial" w:hAnsi="Arial" w:cs="Arial"/>
          <w:b/>
          <w:vertAlign w:val="subscript"/>
        </w:rPr>
        <w:t>2</w:t>
      </w:r>
      <w:r w:rsidRPr="00FD51CB">
        <w:rPr>
          <w:rFonts w:ascii="Arial" w:hAnsi="Arial" w:cs="Arial"/>
          <w:b/>
        </w:rPr>
        <w:t xml:space="preserve"> diffusion tube result:</w:t>
      </w:r>
    </w:p>
    <w:p w14:paraId="44C5AEFD" w14:textId="77777777" w:rsidR="00FD30E0" w:rsidRDefault="00796FA7" w:rsidP="00FD30E0">
      <w:pPr>
        <w:rPr>
          <w:rFonts w:ascii="Arial" w:hAnsi="Arial" w:cs="Arial"/>
        </w:rPr>
      </w:pPr>
      <w:r>
        <w:rPr>
          <w:rFonts w:ascii="Arial" w:hAnsi="Arial" w:cs="Arial"/>
        </w:rPr>
        <w:t xml:space="preserve">Converting the 2018 diffusion tube measurement of </w:t>
      </w:r>
      <w:r w:rsidR="00FD30E0">
        <w:rPr>
          <w:rFonts w:ascii="Arial" w:hAnsi="Arial" w:cs="Arial"/>
        </w:rPr>
        <w:t>4</w:t>
      </w:r>
      <w:r>
        <w:rPr>
          <w:rFonts w:ascii="Arial" w:hAnsi="Arial" w:cs="Arial"/>
        </w:rPr>
        <w:t>5</w:t>
      </w:r>
      <w:r w:rsidR="00FD30E0">
        <w:rPr>
          <w:rFonts w:ascii="Arial" w:hAnsi="Arial" w:cs="Arial"/>
        </w:rPr>
        <w:t>µgm</w:t>
      </w:r>
      <w:r w:rsidR="00FD30E0" w:rsidRPr="000D5674">
        <w:rPr>
          <w:rFonts w:ascii="Arial" w:hAnsi="Arial" w:cs="Arial"/>
          <w:vertAlign w:val="superscript"/>
        </w:rPr>
        <w:t>-3</w:t>
      </w:r>
      <w:r w:rsidR="00FD30E0">
        <w:rPr>
          <w:rFonts w:ascii="Arial" w:hAnsi="Arial" w:cs="Arial"/>
        </w:rPr>
        <w:t xml:space="preserve"> NO</w:t>
      </w:r>
      <w:r w:rsidR="00FD30E0" w:rsidRPr="007D3B34">
        <w:rPr>
          <w:rFonts w:ascii="Arial" w:hAnsi="Arial" w:cs="Arial"/>
          <w:vertAlign w:val="subscript"/>
        </w:rPr>
        <w:t>2</w:t>
      </w:r>
      <w:r w:rsidR="00FD30E0">
        <w:rPr>
          <w:rFonts w:ascii="Arial" w:hAnsi="Arial" w:cs="Arial"/>
        </w:rPr>
        <w:t xml:space="preserve"> </w:t>
      </w:r>
      <w:r>
        <w:rPr>
          <w:rFonts w:ascii="Arial" w:hAnsi="Arial" w:cs="Arial"/>
        </w:rPr>
        <w:t xml:space="preserve">to its equivalent NOx value </w:t>
      </w:r>
      <w:r w:rsidR="00FD30E0">
        <w:rPr>
          <w:rFonts w:ascii="Arial" w:hAnsi="Arial" w:cs="Arial"/>
        </w:rPr>
        <w:t>≡ 72.93µgm</w:t>
      </w:r>
      <w:r w:rsidR="00FD30E0" w:rsidRPr="000D5674">
        <w:rPr>
          <w:rFonts w:ascii="Arial" w:hAnsi="Arial" w:cs="Arial"/>
          <w:vertAlign w:val="superscript"/>
        </w:rPr>
        <w:t>-3</w:t>
      </w:r>
      <w:r w:rsidR="00FD30E0">
        <w:rPr>
          <w:rFonts w:ascii="Arial" w:hAnsi="Arial" w:cs="Arial"/>
        </w:rPr>
        <w:t xml:space="preserve"> NOx</w:t>
      </w:r>
      <w:r w:rsidR="008A40D3">
        <w:rPr>
          <w:rFonts w:ascii="Arial" w:hAnsi="Arial" w:cs="Arial"/>
        </w:rPr>
        <w:t xml:space="preserve"> (‘Road-</w:t>
      </w:r>
      <w:r>
        <w:rPr>
          <w:rFonts w:ascii="Arial" w:hAnsi="Arial" w:cs="Arial"/>
        </w:rPr>
        <w:t>NOx</w:t>
      </w:r>
      <w:r w:rsidR="008A40D3">
        <w:rPr>
          <w:rFonts w:ascii="Arial" w:hAnsi="Arial" w:cs="Arial"/>
        </w:rPr>
        <w:t>-C</w:t>
      </w:r>
      <w:r>
        <w:rPr>
          <w:rFonts w:ascii="Arial" w:hAnsi="Arial" w:cs="Arial"/>
        </w:rPr>
        <w:t>urrent’).</w:t>
      </w:r>
    </w:p>
    <w:p w14:paraId="6ED6ECDC" w14:textId="77777777" w:rsidR="00FD30E0" w:rsidRPr="00FD30E0" w:rsidRDefault="00FD30E0">
      <w:pPr>
        <w:rPr>
          <w:rFonts w:ascii="Arial" w:hAnsi="Arial" w:cs="Arial"/>
        </w:rPr>
      </w:pPr>
      <w:r>
        <w:rPr>
          <w:rFonts w:ascii="Arial" w:hAnsi="Arial" w:cs="Arial"/>
        </w:rPr>
        <w:t>NOx background</w:t>
      </w:r>
      <w:r w:rsidR="00796FA7">
        <w:rPr>
          <w:rFonts w:ascii="Arial" w:hAnsi="Arial" w:cs="Arial"/>
        </w:rPr>
        <w:t xml:space="preserve"> concentration</w:t>
      </w:r>
      <w:r>
        <w:rPr>
          <w:rFonts w:ascii="Arial" w:hAnsi="Arial" w:cs="Arial"/>
        </w:rPr>
        <w:t xml:space="preserve"> = 13.87 µgm</w:t>
      </w:r>
      <w:r w:rsidRPr="00FD30E0">
        <w:rPr>
          <w:rFonts w:ascii="Arial" w:hAnsi="Arial" w:cs="Arial"/>
          <w:vertAlign w:val="superscript"/>
        </w:rPr>
        <w:t>-3</w:t>
      </w:r>
      <w:r>
        <w:rPr>
          <w:rFonts w:ascii="Arial" w:hAnsi="Arial" w:cs="Arial"/>
        </w:rPr>
        <w:t xml:space="preserve"> from DEFRA Background maps</w:t>
      </w:r>
      <w:r w:rsidR="00796FA7">
        <w:rPr>
          <w:rFonts w:ascii="Arial" w:hAnsi="Arial" w:cs="Arial"/>
        </w:rPr>
        <w:t xml:space="preserve"> (using the nearest grid reference to St Pancras, Chichester)</w:t>
      </w:r>
      <w:r>
        <w:rPr>
          <w:rFonts w:ascii="Arial" w:hAnsi="Arial" w:cs="Arial"/>
        </w:rPr>
        <w:t>.</w:t>
      </w:r>
    </w:p>
    <w:p w14:paraId="4649A2AA" w14:textId="77777777" w:rsidR="00FD30E0" w:rsidRDefault="008A40D3">
      <w:pPr>
        <w:rPr>
          <w:rFonts w:ascii="Arial" w:hAnsi="Arial" w:cs="Arial"/>
        </w:rPr>
      </w:pPr>
      <w:r>
        <w:rPr>
          <w:rFonts w:ascii="Arial" w:hAnsi="Arial" w:cs="Arial"/>
        </w:rPr>
        <w:t>The ‘Road-</w:t>
      </w:r>
      <w:r w:rsidR="00796FA7" w:rsidRPr="00796FA7">
        <w:rPr>
          <w:rFonts w:ascii="Arial" w:hAnsi="Arial" w:cs="Arial"/>
        </w:rPr>
        <w:t>NOx</w:t>
      </w:r>
      <w:r>
        <w:rPr>
          <w:rFonts w:ascii="Arial" w:hAnsi="Arial" w:cs="Arial"/>
        </w:rPr>
        <w:t>-R</w:t>
      </w:r>
      <w:r w:rsidR="00796FA7" w:rsidRPr="00796FA7">
        <w:rPr>
          <w:rFonts w:ascii="Arial" w:hAnsi="Arial" w:cs="Arial"/>
        </w:rPr>
        <w:t>equired’ value is calculated as 60.95µgm</w:t>
      </w:r>
      <w:r w:rsidR="00796FA7" w:rsidRPr="00796FA7">
        <w:rPr>
          <w:rFonts w:ascii="Arial" w:hAnsi="Arial" w:cs="Arial"/>
          <w:vertAlign w:val="superscript"/>
        </w:rPr>
        <w:t>-3</w:t>
      </w:r>
      <w:r w:rsidR="00796FA7" w:rsidRPr="00796FA7">
        <w:rPr>
          <w:rFonts w:ascii="Arial" w:hAnsi="Arial" w:cs="Arial"/>
        </w:rPr>
        <w:t>.</w:t>
      </w:r>
    </w:p>
    <w:p w14:paraId="11F23F95" w14:textId="77777777" w:rsidR="008A40D3" w:rsidRDefault="00796FA7">
      <w:pPr>
        <w:rPr>
          <w:rFonts w:ascii="Arial" w:hAnsi="Arial" w:cs="Arial"/>
        </w:rPr>
      </w:pPr>
      <w:r>
        <w:rPr>
          <w:rFonts w:ascii="Arial" w:hAnsi="Arial" w:cs="Arial"/>
        </w:rPr>
        <w:t xml:space="preserve">The target reduction </w:t>
      </w:r>
      <w:r w:rsidR="008A40D3">
        <w:rPr>
          <w:rFonts w:ascii="Arial" w:hAnsi="Arial" w:cs="Arial"/>
        </w:rPr>
        <w:t>is then calculated as:</w:t>
      </w:r>
    </w:p>
    <w:p w14:paraId="157DF938" w14:textId="77777777" w:rsidR="00796FA7" w:rsidRDefault="008A40D3">
      <w:pPr>
        <w:rPr>
          <w:rFonts w:ascii="Arial" w:hAnsi="Arial" w:cs="Arial"/>
        </w:rPr>
      </w:pPr>
      <w:r>
        <w:rPr>
          <w:rFonts w:ascii="Arial" w:hAnsi="Arial" w:cs="Arial"/>
        </w:rPr>
        <w:t>Road-NOx-Current – Road-NOx-Required ie 72.93 – 60.95 = 11.98</w:t>
      </w:r>
      <w:r w:rsidRPr="008A40D3">
        <w:rPr>
          <w:rFonts w:ascii="Arial" w:hAnsi="Arial" w:cs="Arial"/>
        </w:rPr>
        <w:t xml:space="preserve"> </w:t>
      </w:r>
      <w:r w:rsidRPr="00796FA7">
        <w:rPr>
          <w:rFonts w:ascii="Arial" w:hAnsi="Arial" w:cs="Arial"/>
        </w:rPr>
        <w:t>µgm</w:t>
      </w:r>
      <w:r w:rsidRPr="00796FA7">
        <w:rPr>
          <w:rFonts w:ascii="Arial" w:hAnsi="Arial" w:cs="Arial"/>
          <w:vertAlign w:val="superscript"/>
        </w:rPr>
        <w:t>-3</w:t>
      </w:r>
      <w:r>
        <w:rPr>
          <w:rFonts w:ascii="Arial" w:hAnsi="Arial" w:cs="Arial"/>
        </w:rPr>
        <w:t xml:space="preserve"> or stated as a percentage reduction 11.98/72.93 * 100 = 16.4% decrease.</w:t>
      </w:r>
    </w:p>
    <w:p w14:paraId="1CCE94C4" w14:textId="77777777" w:rsidR="00FD51CB" w:rsidRPr="00FD51CB" w:rsidRDefault="00FD51CB" w:rsidP="00FD51CB">
      <w:pPr>
        <w:rPr>
          <w:rFonts w:ascii="Arial" w:hAnsi="Arial" w:cs="Arial"/>
          <w:b/>
        </w:rPr>
      </w:pPr>
      <w:r w:rsidRPr="00FD51CB">
        <w:rPr>
          <w:rFonts w:ascii="Arial" w:hAnsi="Arial" w:cs="Arial"/>
          <w:b/>
        </w:rPr>
        <w:t>Calculation for 201</w:t>
      </w:r>
      <w:r>
        <w:rPr>
          <w:rFonts w:ascii="Arial" w:hAnsi="Arial" w:cs="Arial"/>
          <w:b/>
        </w:rPr>
        <w:t>9</w:t>
      </w:r>
      <w:r w:rsidRPr="00FD51CB">
        <w:rPr>
          <w:rFonts w:ascii="Arial" w:hAnsi="Arial" w:cs="Arial"/>
          <w:b/>
        </w:rPr>
        <w:t xml:space="preserve"> NO</w:t>
      </w:r>
      <w:r w:rsidRPr="00FD51CB">
        <w:rPr>
          <w:rFonts w:ascii="Arial" w:hAnsi="Arial" w:cs="Arial"/>
          <w:b/>
          <w:vertAlign w:val="subscript"/>
        </w:rPr>
        <w:t>2</w:t>
      </w:r>
      <w:r w:rsidRPr="00FD51CB">
        <w:rPr>
          <w:rFonts w:ascii="Arial" w:hAnsi="Arial" w:cs="Arial"/>
          <w:b/>
        </w:rPr>
        <w:t xml:space="preserve"> diffusion tube result:</w:t>
      </w:r>
    </w:p>
    <w:p w14:paraId="3C2DD841" w14:textId="77777777" w:rsidR="00FD51CB" w:rsidRDefault="00FD51CB" w:rsidP="00FD51CB">
      <w:pPr>
        <w:rPr>
          <w:rFonts w:ascii="Arial" w:hAnsi="Arial" w:cs="Arial"/>
        </w:rPr>
      </w:pPr>
      <w:r>
        <w:rPr>
          <w:rFonts w:ascii="Arial" w:hAnsi="Arial" w:cs="Arial"/>
        </w:rPr>
        <w:t>Converting the 2019 diffusion tube measurement of 42µgm</w:t>
      </w:r>
      <w:r w:rsidRPr="000D5674">
        <w:rPr>
          <w:rFonts w:ascii="Arial" w:hAnsi="Arial" w:cs="Arial"/>
          <w:vertAlign w:val="superscript"/>
        </w:rPr>
        <w:t>-3</w:t>
      </w:r>
      <w:r>
        <w:rPr>
          <w:rFonts w:ascii="Arial" w:hAnsi="Arial" w:cs="Arial"/>
        </w:rPr>
        <w:t xml:space="preserve"> NO</w:t>
      </w:r>
      <w:r w:rsidRPr="007D3B34">
        <w:rPr>
          <w:rFonts w:ascii="Arial" w:hAnsi="Arial" w:cs="Arial"/>
          <w:vertAlign w:val="subscript"/>
        </w:rPr>
        <w:t>2</w:t>
      </w:r>
      <w:r>
        <w:rPr>
          <w:rFonts w:ascii="Arial" w:hAnsi="Arial" w:cs="Arial"/>
        </w:rPr>
        <w:t xml:space="preserve"> to its equivalent NOx value ≡ 65.</w:t>
      </w:r>
      <w:r w:rsidR="00A3128C">
        <w:rPr>
          <w:rFonts w:ascii="Arial" w:hAnsi="Arial" w:cs="Arial"/>
        </w:rPr>
        <w:t>5</w:t>
      </w:r>
      <w:r>
        <w:rPr>
          <w:rFonts w:ascii="Arial" w:hAnsi="Arial" w:cs="Arial"/>
        </w:rPr>
        <w:t>8µgm</w:t>
      </w:r>
      <w:r w:rsidRPr="000D5674">
        <w:rPr>
          <w:rFonts w:ascii="Arial" w:hAnsi="Arial" w:cs="Arial"/>
          <w:vertAlign w:val="superscript"/>
        </w:rPr>
        <w:t>-3</w:t>
      </w:r>
      <w:r>
        <w:rPr>
          <w:rFonts w:ascii="Arial" w:hAnsi="Arial" w:cs="Arial"/>
        </w:rPr>
        <w:t xml:space="preserve"> NOx (‘Road-NOx-Current’).</w:t>
      </w:r>
    </w:p>
    <w:p w14:paraId="45CE002B" w14:textId="77777777" w:rsidR="00FD51CB" w:rsidRPr="00FD30E0" w:rsidRDefault="00FD51CB" w:rsidP="00FD51CB">
      <w:pPr>
        <w:rPr>
          <w:rFonts w:ascii="Arial" w:hAnsi="Arial" w:cs="Arial"/>
        </w:rPr>
      </w:pPr>
      <w:r>
        <w:rPr>
          <w:rFonts w:ascii="Arial" w:hAnsi="Arial" w:cs="Arial"/>
        </w:rPr>
        <w:t>NOx background concentration = 13.87 µgm</w:t>
      </w:r>
      <w:r w:rsidRPr="00FD30E0">
        <w:rPr>
          <w:rFonts w:ascii="Arial" w:hAnsi="Arial" w:cs="Arial"/>
          <w:vertAlign w:val="superscript"/>
        </w:rPr>
        <w:t>-3</w:t>
      </w:r>
      <w:r>
        <w:rPr>
          <w:rFonts w:ascii="Arial" w:hAnsi="Arial" w:cs="Arial"/>
        </w:rPr>
        <w:t xml:space="preserve"> from DEFRA Background maps (using the nearest grid reference to St Pancras, Chichester).</w:t>
      </w:r>
    </w:p>
    <w:p w14:paraId="0AE94133" w14:textId="77777777" w:rsidR="00FD51CB" w:rsidRDefault="00FD51CB" w:rsidP="00FD51CB">
      <w:pPr>
        <w:rPr>
          <w:rFonts w:ascii="Arial" w:hAnsi="Arial" w:cs="Arial"/>
        </w:rPr>
      </w:pPr>
      <w:r>
        <w:rPr>
          <w:rFonts w:ascii="Arial" w:hAnsi="Arial" w:cs="Arial"/>
        </w:rPr>
        <w:t>The ‘Road-</w:t>
      </w:r>
      <w:r w:rsidRPr="00796FA7">
        <w:rPr>
          <w:rFonts w:ascii="Arial" w:hAnsi="Arial" w:cs="Arial"/>
        </w:rPr>
        <w:t>NOx</w:t>
      </w:r>
      <w:r>
        <w:rPr>
          <w:rFonts w:ascii="Arial" w:hAnsi="Arial" w:cs="Arial"/>
        </w:rPr>
        <w:t>-R</w:t>
      </w:r>
      <w:r w:rsidRPr="00796FA7">
        <w:rPr>
          <w:rFonts w:ascii="Arial" w:hAnsi="Arial" w:cs="Arial"/>
        </w:rPr>
        <w:t xml:space="preserve">equired’ value is calculated as </w:t>
      </w:r>
      <w:r w:rsidR="00A3128C">
        <w:rPr>
          <w:rFonts w:ascii="Arial" w:hAnsi="Arial" w:cs="Arial"/>
        </w:rPr>
        <w:t>60.88</w:t>
      </w:r>
      <w:r w:rsidRPr="00796FA7">
        <w:rPr>
          <w:rFonts w:ascii="Arial" w:hAnsi="Arial" w:cs="Arial"/>
        </w:rPr>
        <w:t>µgm</w:t>
      </w:r>
      <w:r w:rsidRPr="00796FA7">
        <w:rPr>
          <w:rFonts w:ascii="Arial" w:hAnsi="Arial" w:cs="Arial"/>
          <w:vertAlign w:val="superscript"/>
        </w:rPr>
        <w:t>-3</w:t>
      </w:r>
      <w:r w:rsidRPr="00796FA7">
        <w:rPr>
          <w:rFonts w:ascii="Arial" w:hAnsi="Arial" w:cs="Arial"/>
        </w:rPr>
        <w:t>.</w:t>
      </w:r>
    </w:p>
    <w:p w14:paraId="3176F142" w14:textId="77777777" w:rsidR="00FD51CB" w:rsidRDefault="00FD51CB" w:rsidP="00FD51CB">
      <w:pPr>
        <w:rPr>
          <w:rFonts w:ascii="Arial" w:hAnsi="Arial" w:cs="Arial"/>
        </w:rPr>
      </w:pPr>
      <w:r>
        <w:rPr>
          <w:rFonts w:ascii="Arial" w:hAnsi="Arial" w:cs="Arial"/>
        </w:rPr>
        <w:t>The target reduction is then calculated as:</w:t>
      </w:r>
    </w:p>
    <w:p w14:paraId="3B123F81" w14:textId="77777777" w:rsidR="00FD51CB" w:rsidRDefault="00FD51CB" w:rsidP="00FD51CB">
      <w:pPr>
        <w:rPr>
          <w:rFonts w:ascii="Arial" w:hAnsi="Arial" w:cs="Arial"/>
        </w:rPr>
      </w:pPr>
      <w:r>
        <w:rPr>
          <w:rFonts w:ascii="Arial" w:hAnsi="Arial" w:cs="Arial"/>
        </w:rPr>
        <w:t xml:space="preserve">Road-NOx-Current – Road-NOx-Required ie </w:t>
      </w:r>
      <w:r w:rsidR="00A3128C">
        <w:rPr>
          <w:rFonts w:ascii="Arial" w:hAnsi="Arial" w:cs="Arial"/>
        </w:rPr>
        <w:t>65.58</w:t>
      </w:r>
      <w:r>
        <w:rPr>
          <w:rFonts w:ascii="Arial" w:hAnsi="Arial" w:cs="Arial"/>
        </w:rPr>
        <w:t xml:space="preserve"> – </w:t>
      </w:r>
      <w:r w:rsidR="00A3128C">
        <w:rPr>
          <w:rFonts w:ascii="Arial" w:hAnsi="Arial" w:cs="Arial"/>
        </w:rPr>
        <w:t>60.88</w:t>
      </w:r>
      <w:r>
        <w:rPr>
          <w:rFonts w:ascii="Arial" w:hAnsi="Arial" w:cs="Arial"/>
        </w:rPr>
        <w:t xml:space="preserve"> = </w:t>
      </w:r>
      <w:r w:rsidR="00A3128C">
        <w:rPr>
          <w:rFonts w:ascii="Arial" w:hAnsi="Arial" w:cs="Arial"/>
        </w:rPr>
        <w:t>4.7</w:t>
      </w:r>
      <w:r w:rsidRPr="008A40D3">
        <w:rPr>
          <w:rFonts w:ascii="Arial" w:hAnsi="Arial" w:cs="Arial"/>
        </w:rPr>
        <w:t xml:space="preserve"> </w:t>
      </w:r>
      <w:r w:rsidRPr="00796FA7">
        <w:rPr>
          <w:rFonts w:ascii="Arial" w:hAnsi="Arial" w:cs="Arial"/>
        </w:rPr>
        <w:t>µgm</w:t>
      </w:r>
      <w:r w:rsidRPr="00796FA7">
        <w:rPr>
          <w:rFonts w:ascii="Arial" w:hAnsi="Arial" w:cs="Arial"/>
          <w:vertAlign w:val="superscript"/>
        </w:rPr>
        <w:t>-3</w:t>
      </w:r>
      <w:r>
        <w:rPr>
          <w:rFonts w:ascii="Arial" w:hAnsi="Arial" w:cs="Arial"/>
        </w:rPr>
        <w:t xml:space="preserve"> or stated as a percentage reduction </w:t>
      </w:r>
      <w:r w:rsidR="00A3128C">
        <w:rPr>
          <w:rFonts w:ascii="Arial" w:hAnsi="Arial" w:cs="Arial"/>
        </w:rPr>
        <w:t>4.7</w:t>
      </w:r>
      <w:r>
        <w:rPr>
          <w:rFonts w:ascii="Arial" w:hAnsi="Arial" w:cs="Arial"/>
        </w:rPr>
        <w:t>/</w:t>
      </w:r>
      <w:r w:rsidR="00A3128C">
        <w:rPr>
          <w:rFonts w:ascii="Arial" w:hAnsi="Arial" w:cs="Arial"/>
        </w:rPr>
        <w:t>65.58</w:t>
      </w:r>
      <w:r>
        <w:rPr>
          <w:rFonts w:ascii="Arial" w:hAnsi="Arial" w:cs="Arial"/>
        </w:rPr>
        <w:t xml:space="preserve"> * 100 = </w:t>
      </w:r>
      <w:r w:rsidR="00A3128C">
        <w:rPr>
          <w:rFonts w:ascii="Arial" w:hAnsi="Arial" w:cs="Arial"/>
        </w:rPr>
        <w:t>7.2</w:t>
      </w:r>
      <w:r>
        <w:rPr>
          <w:rFonts w:ascii="Arial" w:hAnsi="Arial" w:cs="Arial"/>
        </w:rPr>
        <w:t>% decrease</w:t>
      </w:r>
    </w:p>
    <w:p w14:paraId="6875C87F" w14:textId="77777777" w:rsidR="005A3F64" w:rsidRDefault="005E4FD8">
      <w:pPr>
        <w:rPr>
          <w:rFonts w:ascii="Arial" w:hAnsi="Arial" w:cs="Arial"/>
        </w:rPr>
      </w:pPr>
      <w:r>
        <w:rPr>
          <w:rFonts w:ascii="Arial" w:hAnsi="Arial" w:cs="Arial"/>
        </w:rPr>
        <w:br w:type="page"/>
      </w:r>
      <w:r w:rsidR="00FD51CB">
        <w:rPr>
          <w:rFonts w:ascii="Arial" w:hAnsi="Arial" w:cs="Arial"/>
        </w:rPr>
        <w:lastRenderedPageBreak/>
        <w:t>The calculations behind the numbers presented here are carried out on a spreadsheet provided by DEFRA.</w:t>
      </w:r>
    </w:p>
    <w:p w14:paraId="751779BA" w14:textId="77777777" w:rsidR="001D4229" w:rsidRPr="005A3F64" w:rsidRDefault="001D4229" w:rsidP="001D4229">
      <w:pPr>
        <w:pStyle w:val="Heading1"/>
        <w:rPr>
          <w:rStyle w:val="Heading1Char"/>
          <w:rFonts w:ascii="Arial" w:eastAsiaTheme="minorHAnsi" w:hAnsi="Arial" w:cs="Arial"/>
          <w:color w:val="auto"/>
          <w:sz w:val="22"/>
          <w:szCs w:val="22"/>
        </w:rPr>
      </w:pPr>
      <w:r>
        <w:rPr>
          <w:rFonts w:ascii="Arial" w:hAnsi="Arial" w:cs="Arial"/>
        </w:rPr>
        <w:br/>
      </w:r>
      <w:bookmarkStart w:id="46" w:name="_Toc96511396"/>
      <w:r w:rsidRPr="005A3F64">
        <w:rPr>
          <w:rStyle w:val="Heading1Char"/>
        </w:rPr>
        <w:t>Appendix 5: Calculation to estimate PM2.5 concentrations in Chichester District:</w:t>
      </w:r>
      <w:bookmarkEnd w:id="46"/>
      <w:r>
        <w:rPr>
          <w:rStyle w:val="Heading1Char"/>
        </w:rPr>
        <w:br/>
      </w:r>
    </w:p>
    <w:p w14:paraId="20A5BA1A" w14:textId="77777777" w:rsidR="001D4229" w:rsidRDefault="001D4229" w:rsidP="001D4229">
      <w:pPr>
        <w:rPr>
          <w:rFonts w:ascii="Arial" w:hAnsi="Arial" w:cs="Arial"/>
        </w:rPr>
      </w:pPr>
      <w:r w:rsidRPr="00796FA7">
        <w:rPr>
          <w:rFonts w:ascii="Arial" w:hAnsi="Arial" w:cs="Arial"/>
        </w:rPr>
        <w:t>The calculation is made in accordance with the guidance: DEFRA, Local Air Quality Management, Technical Guidance (TG16), April 2016, page</w:t>
      </w:r>
      <w:r>
        <w:rPr>
          <w:rFonts w:ascii="Arial" w:hAnsi="Arial" w:cs="Arial"/>
        </w:rPr>
        <w:t>7-36, Box 7.7:</w:t>
      </w:r>
    </w:p>
    <w:p w14:paraId="10E12FB8" w14:textId="77777777" w:rsidR="001D4229" w:rsidRDefault="001D4229" w:rsidP="001D4229">
      <w:pPr>
        <w:rPr>
          <w:rFonts w:ascii="Arial" w:hAnsi="Arial" w:cs="Arial"/>
        </w:rPr>
      </w:pPr>
      <w:r>
        <w:rPr>
          <w:rFonts w:ascii="Arial" w:hAnsi="Arial" w:cs="Arial"/>
        </w:rPr>
        <w:t>The nearest PM</w:t>
      </w:r>
      <w:r w:rsidRPr="005E4FD8">
        <w:rPr>
          <w:rFonts w:ascii="Arial" w:hAnsi="Arial" w:cs="Arial"/>
          <w:vertAlign w:val="subscript"/>
        </w:rPr>
        <w:t>2.5</w:t>
      </w:r>
      <w:r>
        <w:rPr>
          <w:rFonts w:ascii="Arial" w:hAnsi="Arial" w:cs="Arial"/>
        </w:rPr>
        <w:t xml:space="preserve"> and PM</w:t>
      </w:r>
      <w:r w:rsidRPr="005E4FD8">
        <w:rPr>
          <w:rFonts w:ascii="Arial" w:hAnsi="Arial" w:cs="Arial"/>
          <w:vertAlign w:val="subscript"/>
        </w:rPr>
        <w:t>10</w:t>
      </w:r>
      <w:r>
        <w:rPr>
          <w:rFonts w:ascii="Arial" w:hAnsi="Arial" w:cs="Arial"/>
        </w:rPr>
        <w:t xml:space="preserve"> air quality monitoring station of which we are aware is in Horsham District Council’s Area at Storrington (Location shown in Plan xx below):</w:t>
      </w:r>
    </w:p>
    <w:p w14:paraId="29F06922" w14:textId="77777777" w:rsidR="001D4229" w:rsidRDefault="001D4229" w:rsidP="001D4229">
      <w:pPr>
        <w:spacing w:after="0"/>
        <w:rPr>
          <w:rFonts w:ascii="Arial" w:hAnsi="Arial" w:cs="Arial"/>
        </w:rPr>
      </w:pPr>
      <w:r w:rsidRPr="005E4FD8">
        <w:rPr>
          <w:rFonts w:ascii="Arial" w:hAnsi="Arial" w:cs="Arial"/>
          <w:b/>
        </w:rPr>
        <w:t>Plan xx</w:t>
      </w:r>
      <w:r>
        <w:rPr>
          <w:rFonts w:ascii="Arial" w:hAnsi="Arial" w:cs="Arial"/>
        </w:rPr>
        <w:t>: Horsham District Council PM</w:t>
      </w:r>
      <w:r w:rsidRPr="0017350D">
        <w:rPr>
          <w:rFonts w:ascii="Arial" w:hAnsi="Arial" w:cs="Arial"/>
          <w:vertAlign w:val="subscript"/>
        </w:rPr>
        <w:t xml:space="preserve">10 </w:t>
      </w:r>
      <w:r>
        <w:rPr>
          <w:rFonts w:ascii="Arial" w:hAnsi="Arial" w:cs="Arial"/>
        </w:rPr>
        <w:t>and PM</w:t>
      </w:r>
      <w:r w:rsidRPr="0017350D">
        <w:rPr>
          <w:rFonts w:ascii="Arial" w:hAnsi="Arial" w:cs="Arial"/>
          <w:vertAlign w:val="subscript"/>
        </w:rPr>
        <w:t>2.5</w:t>
      </w:r>
      <w:r>
        <w:rPr>
          <w:rFonts w:ascii="Arial" w:hAnsi="Arial" w:cs="Arial"/>
        </w:rPr>
        <w:t xml:space="preserve"> air quality monitoring location:</w:t>
      </w:r>
    </w:p>
    <w:tbl>
      <w:tblPr>
        <w:tblStyle w:val="TableGrid"/>
        <w:tblW w:w="0" w:type="auto"/>
        <w:tblLook w:val="04A0" w:firstRow="1" w:lastRow="0" w:firstColumn="1" w:lastColumn="0" w:noHBand="0" w:noVBand="1"/>
      </w:tblPr>
      <w:tblGrid>
        <w:gridCol w:w="9016"/>
      </w:tblGrid>
      <w:tr w:rsidR="001D4229" w14:paraId="57B37F2F" w14:textId="77777777" w:rsidTr="002B0AF4">
        <w:tc>
          <w:tcPr>
            <w:tcW w:w="9242" w:type="dxa"/>
          </w:tcPr>
          <w:p w14:paraId="06FDF52D" w14:textId="77777777" w:rsidR="001D4229" w:rsidRDefault="001D4229" w:rsidP="002B0AF4">
            <w:pPr>
              <w:rPr>
                <w:rFonts w:ascii="Arial" w:hAnsi="Arial" w:cs="Arial"/>
              </w:rPr>
            </w:pPr>
            <w:r>
              <w:rPr>
                <w:noProof/>
                <w:lang w:eastAsia="en-GB"/>
              </w:rPr>
              <w:drawing>
                <wp:inline distT="0" distB="0" distL="0" distR="0" wp14:anchorId="78214485" wp14:editId="2F4EAA8A">
                  <wp:extent cx="5429250" cy="2828925"/>
                  <wp:effectExtent l="0" t="0" r="0" b="9525"/>
                  <wp:docPr id="10" name="Picture 10" descr="Graph 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 XX"/>
                          <pic:cNvPicPr/>
                        </pic:nvPicPr>
                        <pic:blipFill>
                          <a:blip r:embed="rId49"/>
                          <a:stretch>
                            <a:fillRect/>
                          </a:stretch>
                        </pic:blipFill>
                        <pic:spPr>
                          <a:xfrm>
                            <a:off x="0" y="0"/>
                            <a:ext cx="5429250" cy="2828925"/>
                          </a:xfrm>
                          <a:prstGeom prst="rect">
                            <a:avLst/>
                          </a:prstGeom>
                        </pic:spPr>
                      </pic:pic>
                    </a:graphicData>
                  </a:graphic>
                </wp:inline>
              </w:drawing>
            </w:r>
          </w:p>
        </w:tc>
      </w:tr>
    </w:tbl>
    <w:p w14:paraId="1C2324FD" w14:textId="77777777" w:rsidR="001D4229" w:rsidRDefault="001D4229" w:rsidP="001D4229">
      <w:pPr>
        <w:spacing w:after="0"/>
        <w:rPr>
          <w:rFonts w:ascii="Arial" w:hAnsi="Arial" w:cs="Arial"/>
        </w:rPr>
      </w:pPr>
    </w:p>
    <w:p w14:paraId="0B4EBB81" w14:textId="77777777" w:rsidR="001D4229" w:rsidRDefault="001D4229" w:rsidP="001D4229">
      <w:pPr>
        <w:spacing w:after="0"/>
        <w:rPr>
          <w:rFonts w:ascii="Arial" w:hAnsi="Arial" w:cs="Arial"/>
        </w:rPr>
      </w:pPr>
      <w:r>
        <w:rPr>
          <w:rFonts w:ascii="Arial" w:hAnsi="Arial" w:cs="Arial"/>
        </w:rPr>
        <w:t>The TG(16) methodology allows us to apply the ratio between PM</w:t>
      </w:r>
      <w:r w:rsidRPr="00DC6D7D">
        <w:rPr>
          <w:rFonts w:ascii="Arial" w:hAnsi="Arial" w:cs="Arial"/>
          <w:vertAlign w:val="subscript"/>
        </w:rPr>
        <w:t>2.5</w:t>
      </w:r>
      <w:r>
        <w:rPr>
          <w:rFonts w:ascii="Arial" w:hAnsi="Arial" w:cs="Arial"/>
        </w:rPr>
        <w:t xml:space="preserve"> and PM</w:t>
      </w:r>
      <w:r w:rsidRPr="00DC6D7D">
        <w:rPr>
          <w:rFonts w:ascii="Arial" w:hAnsi="Arial" w:cs="Arial"/>
          <w:vertAlign w:val="subscript"/>
        </w:rPr>
        <w:t>10</w:t>
      </w:r>
      <w:r>
        <w:rPr>
          <w:rFonts w:ascii="Arial" w:hAnsi="Arial" w:cs="Arial"/>
        </w:rPr>
        <w:t xml:space="preserve"> at Storrington to the Chichester PM</w:t>
      </w:r>
      <w:r w:rsidRPr="00DC6D7D">
        <w:rPr>
          <w:rFonts w:ascii="Arial" w:hAnsi="Arial" w:cs="Arial"/>
          <w:vertAlign w:val="subscript"/>
        </w:rPr>
        <w:t>10</w:t>
      </w:r>
      <w:r>
        <w:rPr>
          <w:rFonts w:ascii="Arial" w:hAnsi="Arial" w:cs="Arial"/>
        </w:rPr>
        <w:t xml:space="preserve"> data to estimate the PM</w:t>
      </w:r>
      <w:r w:rsidRPr="00DC6D7D">
        <w:rPr>
          <w:rFonts w:ascii="Arial" w:hAnsi="Arial" w:cs="Arial"/>
          <w:vertAlign w:val="subscript"/>
        </w:rPr>
        <w:t>2.5</w:t>
      </w:r>
      <w:r>
        <w:rPr>
          <w:rFonts w:ascii="Arial" w:hAnsi="Arial" w:cs="Arial"/>
        </w:rPr>
        <w:t xml:space="preserve"> concentration at CDC’s air quality monitoring station (ie CDC’s Stockbridge air quality monitoring station derived PM</w:t>
      </w:r>
      <w:r w:rsidRPr="00DC6D7D">
        <w:rPr>
          <w:rFonts w:ascii="Arial" w:hAnsi="Arial" w:cs="Arial"/>
          <w:vertAlign w:val="subscript"/>
        </w:rPr>
        <w:t>10</w:t>
      </w:r>
      <w:r>
        <w:rPr>
          <w:rFonts w:ascii="Arial" w:hAnsi="Arial" w:cs="Arial"/>
        </w:rPr>
        <w:t xml:space="preserve"> concentration). The method applied where all values are as annual-mean concentrations.</w:t>
      </w:r>
    </w:p>
    <w:p w14:paraId="667C032D" w14:textId="77777777" w:rsidR="001D4229" w:rsidRDefault="001D4229" w:rsidP="001D4229">
      <w:pPr>
        <w:spacing w:after="0"/>
        <w:rPr>
          <w:rFonts w:ascii="Arial" w:hAnsi="Arial" w:cs="Arial"/>
        </w:rPr>
      </w:pPr>
    </w:p>
    <w:p w14:paraId="3E92C1D8" w14:textId="77777777" w:rsidR="001D4229" w:rsidRDefault="001D4229" w:rsidP="001D4229">
      <w:pPr>
        <w:spacing w:after="0"/>
        <w:rPr>
          <w:rFonts w:ascii="Arial" w:hAnsi="Arial" w:cs="Arial"/>
        </w:rPr>
      </w:pPr>
      <w:r>
        <w:rPr>
          <w:rFonts w:ascii="Arial" w:hAnsi="Arial" w:cs="Arial"/>
        </w:rPr>
        <w:t>Horsham District Council has provided monitoring data from their Storrington air quality monitoring station (the nearest to Chichester) in Table xx below:</w:t>
      </w:r>
    </w:p>
    <w:p w14:paraId="1F2355E9" w14:textId="77777777" w:rsidR="001D4229" w:rsidRDefault="001D4229" w:rsidP="001D4229">
      <w:pPr>
        <w:spacing w:after="0"/>
        <w:rPr>
          <w:rFonts w:ascii="Arial" w:hAnsi="Arial" w:cs="Arial"/>
          <w:b/>
        </w:rPr>
      </w:pPr>
    </w:p>
    <w:p w14:paraId="29A38857" w14:textId="77777777" w:rsidR="001D4229" w:rsidRPr="00F50085" w:rsidRDefault="001D4229" w:rsidP="001D4229">
      <w:pPr>
        <w:pStyle w:val="Caption"/>
        <w:keepNext/>
        <w:spacing w:after="0"/>
        <w:rPr>
          <w:rFonts w:ascii="Arial" w:hAnsi="Arial" w:cs="Arial"/>
          <w:b w:val="0"/>
          <w:bCs w:val="0"/>
          <w:color w:val="auto"/>
          <w:sz w:val="22"/>
          <w:szCs w:val="22"/>
        </w:rPr>
      </w:pPr>
      <w:r w:rsidRPr="00F50085">
        <w:rPr>
          <w:rFonts w:ascii="Arial" w:hAnsi="Arial" w:cs="Arial"/>
          <w:bCs w:val="0"/>
          <w:color w:val="auto"/>
          <w:sz w:val="22"/>
          <w:szCs w:val="22"/>
        </w:rPr>
        <w:t xml:space="preserve">Table </w:t>
      </w:r>
      <w:r w:rsidRPr="00F50085">
        <w:rPr>
          <w:rFonts w:ascii="Arial" w:hAnsi="Arial" w:cs="Arial"/>
          <w:bCs w:val="0"/>
          <w:color w:val="auto"/>
          <w:sz w:val="22"/>
          <w:szCs w:val="22"/>
        </w:rPr>
        <w:fldChar w:fldCharType="begin"/>
      </w:r>
      <w:r w:rsidRPr="00F50085">
        <w:rPr>
          <w:rFonts w:ascii="Arial" w:hAnsi="Arial" w:cs="Arial"/>
          <w:bCs w:val="0"/>
          <w:color w:val="auto"/>
          <w:sz w:val="22"/>
          <w:szCs w:val="22"/>
        </w:rPr>
        <w:instrText xml:space="preserve"> SEQ Table \* ARABIC </w:instrText>
      </w:r>
      <w:r w:rsidRPr="00F50085">
        <w:rPr>
          <w:rFonts w:ascii="Arial" w:hAnsi="Arial" w:cs="Arial"/>
          <w:bCs w:val="0"/>
          <w:color w:val="auto"/>
          <w:sz w:val="22"/>
          <w:szCs w:val="22"/>
        </w:rPr>
        <w:fldChar w:fldCharType="separate"/>
      </w:r>
      <w:r>
        <w:rPr>
          <w:rFonts w:ascii="Arial" w:hAnsi="Arial" w:cs="Arial"/>
          <w:bCs w:val="0"/>
          <w:noProof/>
          <w:color w:val="auto"/>
          <w:sz w:val="22"/>
          <w:szCs w:val="22"/>
        </w:rPr>
        <w:t>15</w:t>
      </w:r>
      <w:r w:rsidRPr="00F50085">
        <w:rPr>
          <w:rFonts w:ascii="Arial" w:hAnsi="Arial" w:cs="Arial"/>
          <w:bCs w:val="0"/>
          <w:color w:val="auto"/>
          <w:sz w:val="22"/>
          <w:szCs w:val="22"/>
        </w:rPr>
        <w:fldChar w:fldCharType="end"/>
      </w:r>
      <w:r w:rsidRPr="00F50085">
        <w:rPr>
          <w:rFonts w:ascii="Arial" w:hAnsi="Arial" w:cs="Arial"/>
          <w:bCs w:val="0"/>
          <w:color w:val="auto"/>
          <w:sz w:val="22"/>
          <w:szCs w:val="22"/>
        </w:rPr>
        <w:t>:</w:t>
      </w:r>
      <w:r w:rsidRPr="00F50085">
        <w:rPr>
          <w:rFonts w:ascii="Arial" w:hAnsi="Arial" w:cs="Arial"/>
          <w:b w:val="0"/>
          <w:bCs w:val="0"/>
          <w:color w:val="auto"/>
          <w:sz w:val="22"/>
          <w:szCs w:val="22"/>
        </w:rPr>
        <w:t xml:space="preserve"> Horsham air quality monitoring data (PM</w:t>
      </w:r>
      <w:r w:rsidRPr="00F50085">
        <w:rPr>
          <w:rFonts w:ascii="Arial" w:hAnsi="Arial" w:cs="Arial"/>
          <w:b w:val="0"/>
          <w:bCs w:val="0"/>
          <w:color w:val="auto"/>
          <w:sz w:val="22"/>
          <w:szCs w:val="22"/>
          <w:vertAlign w:val="subscript"/>
        </w:rPr>
        <w:t>10</w:t>
      </w:r>
      <w:r w:rsidRPr="00F50085">
        <w:rPr>
          <w:rFonts w:ascii="Arial" w:hAnsi="Arial" w:cs="Arial"/>
          <w:b w:val="0"/>
          <w:bCs w:val="0"/>
          <w:color w:val="auto"/>
          <w:sz w:val="22"/>
          <w:szCs w:val="22"/>
        </w:rPr>
        <w:t xml:space="preserve"> and PM</w:t>
      </w:r>
      <w:r w:rsidRPr="00F50085">
        <w:rPr>
          <w:rFonts w:ascii="Arial" w:hAnsi="Arial" w:cs="Arial"/>
          <w:b w:val="0"/>
          <w:bCs w:val="0"/>
          <w:color w:val="auto"/>
          <w:sz w:val="22"/>
          <w:szCs w:val="22"/>
          <w:vertAlign w:val="subscript"/>
        </w:rPr>
        <w:t>2.5</w:t>
      </w:r>
      <w:r w:rsidRPr="00F50085">
        <w:rPr>
          <w:rFonts w:ascii="Arial" w:hAnsi="Arial" w:cs="Arial"/>
          <w:b w:val="0"/>
          <w:bCs w:val="0"/>
          <w:color w:val="auto"/>
          <w:sz w:val="22"/>
          <w:szCs w:val="22"/>
        </w:rPr>
        <w:t xml:space="preserve"> only):</w:t>
      </w:r>
    </w:p>
    <w:tbl>
      <w:tblPr>
        <w:tblStyle w:val="TableGrid"/>
        <w:tblW w:w="0" w:type="auto"/>
        <w:tblLook w:val="04A0" w:firstRow="1" w:lastRow="0" w:firstColumn="1" w:lastColumn="0" w:noHBand="0" w:noVBand="1"/>
      </w:tblPr>
      <w:tblGrid>
        <w:gridCol w:w="959"/>
        <w:gridCol w:w="2126"/>
        <w:gridCol w:w="2126"/>
        <w:gridCol w:w="2410"/>
      </w:tblGrid>
      <w:tr w:rsidR="001D4229" w14:paraId="0DBA067F" w14:textId="77777777" w:rsidTr="002B0AF4">
        <w:tc>
          <w:tcPr>
            <w:tcW w:w="959" w:type="dxa"/>
          </w:tcPr>
          <w:p w14:paraId="01B22A08" w14:textId="77777777" w:rsidR="001D4229" w:rsidRDefault="001D4229" w:rsidP="002B0AF4">
            <w:pPr>
              <w:jc w:val="right"/>
              <w:rPr>
                <w:rFonts w:ascii="Arial" w:hAnsi="Arial" w:cs="Arial"/>
              </w:rPr>
            </w:pPr>
            <w:r>
              <w:rPr>
                <w:rFonts w:ascii="Arial" w:hAnsi="Arial" w:cs="Arial"/>
              </w:rPr>
              <w:t>Year:</w:t>
            </w:r>
          </w:p>
        </w:tc>
        <w:tc>
          <w:tcPr>
            <w:tcW w:w="2126" w:type="dxa"/>
          </w:tcPr>
          <w:p w14:paraId="2B031FC4" w14:textId="77777777" w:rsidR="001D4229" w:rsidRDefault="001D4229" w:rsidP="002B0AF4">
            <w:pPr>
              <w:jc w:val="center"/>
              <w:rPr>
                <w:rFonts w:ascii="Arial" w:hAnsi="Arial" w:cs="Arial"/>
              </w:rPr>
            </w:pPr>
            <w:r>
              <w:rPr>
                <w:rFonts w:ascii="Arial" w:hAnsi="Arial" w:cs="Arial"/>
              </w:rPr>
              <w:t>Annual mean PM</w:t>
            </w:r>
            <w:r w:rsidRPr="0017350D">
              <w:rPr>
                <w:rFonts w:ascii="Arial" w:hAnsi="Arial" w:cs="Arial"/>
                <w:vertAlign w:val="subscript"/>
              </w:rPr>
              <w:t>2.5</w:t>
            </w:r>
            <w:r>
              <w:rPr>
                <w:rFonts w:ascii="Arial" w:hAnsi="Arial" w:cs="Arial"/>
              </w:rPr>
              <w:t xml:space="preserve"> concentration (µgm</w:t>
            </w:r>
            <w:r w:rsidRPr="008D6CFA">
              <w:rPr>
                <w:rFonts w:ascii="Arial" w:hAnsi="Arial" w:cs="Arial"/>
                <w:vertAlign w:val="superscript"/>
              </w:rPr>
              <w:t>-3</w:t>
            </w:r>
            <w:r>
              <w:rPr>
                <w:rFonts w:ascii="Arial" w:hAnsi="Arial" w:cs="Arial"/>
              </w:rPr>
              <w:t>):</w:t>
            </w:r>
          </w:p>
        </w:tc>
        <w:tc>
          <w:tcPr>
            <w:tcW w:w="2126" w:type="dxa"/>
          </w:tcPr>
          <w:p w14:paraId="31E67826" w14:textId="77777777" w:rsidR="001D4229" w:rsidRDefault="001D4229" w:rsidP="002B0AF4">
            <w:pPr>
              <w:jc w:val="center"/>
              <w:rPr>
                <w:rFonts w:ascii="Arial" w:hAnsi="Arial" w:cs="Arial"/>
              </w:rPr>
            </w:pPr>
            <w:r>
              <w:rPr>
                <w:rFonts w:ascii="Arial" w:hAnsi="Arial" w:cs="Arial"/>
              </w:rPr>
              <w:t>Annual mean PM</w:t>
            </w:r>
            <w:r w:rsidRPr="0017350D">
              <w:rPr>
                <w:rFonts w:ascii="Arial" w:hAnsi="Arial" w:cs="Arial"/>
                <w:vertAlign w:val="subscript"/>
              </w:rPr>
              <w:t>10</w:t>
            </w:r>
            <w:r>
              <w:rPr>
                <w:rFonts w:ascii="Arial" w:hAnsi="Arial" w:cs="Arial"/>
              </w:rPr>
              <w:t xml:space="preserve"> concentration (µgm</w:t>
            </w:r>
            <w:r w:rsidRPr="008D6CFA">
              <w:rPr>
                <w:rFonts w:ascii="Arial" w:hAnsi="Arial" w:cs="Arial"/>
                <w:vertAlign w:val="superscript"/>
              </w:rPr>
              <w:t>-3</w:t>
            </w:r>
            <w:r>
              <w:rPr>
                <w:rFonts w:ascii="Arial" w:hAnsi="Arial" w:cs="Arial"/>
              </w:rPr>
              <w:t>):</w:t>
            </w:r>
          </w:p>
        </w:tc>
        <w:tc>
          <w:tcPr>
            <w:tcW w:w="2410" w:type="dxa"/>
          </w:tcPr>
          <w:p w14:paraId="719C2165" w14:textId="77777777" w:rsidR="001D4229" w:rsidRDefault="001D4229" w:rsidP="002B0AF4">
            <w:pPr>
              <w:jc w:val="center"/>
              <w:rPr>
                <w:rFonts w:ascii="Arial" w:hAnsi="Arial" w:cs="Arial"/>
              </w:rPr>
            </w:pPr>
            <w:r>
              <w:rPr>
                <w:rFonts w:ascii="Arial" w:hAnsi="Arial" w:cs="Arial"/>
              </w:rPr>
              <w:t>PM</w:t>
            </w:r>
            <w:r w:rsidRPr="008D6CFA">
              <w:rPr>
                <w:rFonts w:ascii="Arial" w:hAnsi="Arial" w:cs="Arial"/>
                <w:vertAlign w:val="subscript"/>
              </w:rPr>
              <w:t>2.5</w:t>
            </w:r>
            <w:r>
              <w:rPr>
                <w:rFonts w:ascii="Arial" w:hAnsi="Arial" w:cs="Arial"/>
              </w:rPr>
              <w:t>/PM</w:t>
            </w:r>
            <w:r w:rsidRPr="008D6CFA">
              <w:rPr>
                <w:rFonts w:ascii="Arial" w:hAnsi="Arial" w:cs="Arial"/>
                <w:vertAlign w:val="subscript"/>
              </w:rPr>
              <w:t>10</w:t>
            </w:r>
            <w:r>
              <w:rPr>
                <w:rFonts w:ascii="Arial" w:hAnsi="Arial" w:cs="Arial"/>
              </w:rPr>
              <w:t xml:space="preserve"> ratio</w:t>
            </w:r>
          </w:p>
        </w:tc>
      </w:tr>
      <w:tr w:rsidR="001D4229" w14:paraId="35530EBA" w14:textId="77777777" w:rsidTr="002B0AF4">
        <w:tc>
          <w:tcPr>
            <w:tcW w:w="959" w:type="dxa"/>
          </w:tcPr>
          <w:p w14:paraId="3497F1B5" w14:textId="77777777" w:rsidR="001D4229" w:rsidRDefault="001D4229" w:rsidP="002B0AF4">
            <w:pPr>
              <w:jc w:val="right"/>
              <w:rPr>
                <w:rFonts w:ascii="Arial" w:hAnsi="Arial" w:cs="Arial"/>
              </w:rPr>
            </w:pPr>
            <w:r>
              <w:rPr>
                <w:rFonts w:ascii="Arial" w:hAnsi="Arial" w:cs="Arial"/>
              </w:rPr>
              <w:t>2016</w:t>
            </w:r>
          </w:p>
        </w:tc>
        <w:tc>
          <w:tcPr>
            <w:tcW w:w="2126" w:type="dxa"/>
          </w:tcPr>
          <w:p w14:paraId="44206FBD" w14:textId="77777777" w:rsidR="001D4229" w:rsidRDefault="001D4229" w:rsidP="002B0AF4">
            <w:pPr>
              <w:jc w:val="center"/>
              <w:rPr>
                <w:rFonts w:ascii="Arial" w:hAnsi="Arial" w:cs="Arial"/>
              </w:rPr>
            </w:pPr>
            <w:r>
              <w:rPr>
                <w:rFonts w:ascii="Arial" w:hAnsi="Arial" w:cs="Arial"/>
              </w:rPr>
              <w:t>13.2</w:t>
            </w:r>
          </w:p>
        </w:tc>
        <w:tc>
          <w:tcPr>
            <w:tcW w:w="2126" w:type="dxa"/>
          </w:tcPr>
          <w:p w14:paraId="2B6B8E56" w14:textId="77777777" w:rsidR="001D4229" w:rsidRDefault="001D4229" w:rsidP="002B0AF4">
            <w:pPr>
              <w:jc w:val="center"/>
              <w:rPr>
                <w:rFonts w:ascii="Arial" w:hAnsi="Arial" w:cs="Arial"/>
              </w:rPr>
            </w:pPr>
            <w:r>
              <w:rPr>
                <w:rFonts w:ascii="Arial" w:hAnsi="Arial" w:cs="Arial"/>
              </w:rPr>
              <w:t>18.8</w:t>
            </w:r>
          </w:p>
        </w:tc>
        <w:tc>
          <w:tcPr>
            <w:tcW w:w="2410" w:type="dxa"/>
          </w:tcPr>
          <w:p w14:paraId="58404990" w14:textId="77777777" w:rsidR="001D4229" w:rsidRDefault="001D4229" w:rsidP="002B0AF4">
            <w:pPr>
              <w:jc w:val="center"/>
              <w:rPr>
                <w:rFonts w:ascii="Arial" w:hAnsi="Arial" w:cs="Arial"/>
              </w:rPr>
            </w:pPr>
            <w:r>
              <w:rPr>
                <w:rFonts w:ascii="Arial" w:hAnsi="Arial" w:cs="Arial"/>
              </w:rPr>
              <w:t>0.70</w:t>
            </w:r>
          </w:p>
        </w:tc>
      </w:tr>
      <w:tr w:rsidR="001D4229" w14:paraId="6439E1AE" w14:textId="77777777" w:rsidTr="002B0AF4">
        <w:tc>
          <w:tcPr>
            <w:tcW w:w="959" w:type="dxa"/>
          </w:tcPr>
          <w:p w14:paraId="4E68C13F" w14:textId="77777777" w:rsidR="001D4229" w:rsidRDefault="001D4229" w:rsidP="002B0AF4">
            <w:pPr>
              <w:jc w:val="right"/>
              <w:rPr>
                <w:rFonts w:ascii="Arial" w:hAnsi="Arial" w:cs="Arial"/>
              </w:rPr>
            </w:pPr>
            <w:r>
              <w:rPr>
                <w:rFonts w:ascii="Arial" w:hAnsi="Arial" w:cs="Arial"/>
              </w:rPr>
              <w:t>2015</w:t>
            </w:r>
          </w:p>
        </w:tc>
        <w:tc>
          <w:tcPr>
            <w:tcW w:w="2126" w:type="dxa"/>
          </w:tcPr>
          <w:p w14:paraId="23CA7943" w14:textId="77777777" w:rsidR="001D4229" w:rsidRDefault="001D4229" w:rsidP="002B0AF4">
            <w:pPr>
              <w:jc w:val="center"/>
              <w:rPr>
                <w:rFonts w:ascii="Arial" w:hAnsi="Arial" w:cs="Arial"/>
              </w:rPr>
            </w:pPr>
            <w:r>
              <w:rPr>
                <w:rFonts w:ascii="Arial" w:hAnsi="Arial" w:cs="Arial"/>
              </w:rPr>
              <w:t>11.2</w:t>
            </w:r>
          </w:p>
        </w:tc>
        <w:tc>
          <w:tcPr>
            <w:tcW w:w="2126" w:type="dxa"/>
          </w:tcPr>
          <w:p w14:paraId="299ABDFB" w14:textId="77777777" w:rsidR="001D4229" w:rsidRDefault="001D4229" w:rsidP="002B0AF4">
            <w:pPr>
              <w:jc w:val="center"/>
              <w:rPr>
                <w:rFonts w:ascii="Arial" w:hAnsi="Arial" w:cs="Arial"/>
              </w:rPr>
            </w:pPr>
            <w:r>
              <w:rPr>
                <w:rFonts w:ascii="Arial" w:hAnsi="Arial" w:cs="Arial"/>
              </w:rPr>
              <w:t>15.8</w:t>
            </w:r>
          </w:p>
        </w:tc>
        <w:tc>
          <w:tcPr>
            <w:tcW w:w="2410" w:type="dxa"/>
          </w:tcPr>
          <w:p w14:paraId="30771A54" w14:textId="77777777" w:rsidR="001D4229" w:rsidRDefault="001D4229" w:rsidP="002B0AF4">
            <w:pPr>
              <w:jc w:val="center"/>
              <w:rPr>
                <w:rFonts w:ascii="Arial" w:hAnsi="Arial" w:cs="Arial"/>
              </w:rPr>
            </w:pPr>
            <w:r>
              <w:rPr>
                <w:rFonts w:ascii="Arial" w:hAnsi="Arial" w:cs="Arial"/>
              </w:rPr>
              <w:t>0.71</w:t>
            </w:r>
          </w:p>
        </w:tc>
      </w:tr>
      <w:tr w:rsidR="001D4229" w14:paraId="126EFD19" w14:textId="77777777" w:rsidTr="002B0AF4">
        <w:tc>
          <w:tcPr>
            <w:tcW w:w="959" w:type="dxa"/>
          </w:tcPr>
          <w:p w14:paraId="1B93AFE6" w14:textId="77777777" w:rsidR="001D4229" w:rsidRDefault="001D4229" w:rsidP="002B0AF4">
            <w:pPr>
              <w:jc w:val="right"/>
              <w:rPr>
                <w:rFonts w:ascii="Arial" w:hAnsi="Arial" w:cs="Arial"/>
              </w:rPr>
            </w:pPr>
            <w:r>
              <w:rPr>
                <w:rFonts w:ascii="Arial" w:hAnsi="Arial" w:cs="Arial"/>
              </w:rPr>
              <w:t>2014</w:t>
            </w:r>
          </w:p>
        </w:tc>
        <w:tc>
          <w:tcPr>
            <w:tcW w:w="2126" w:type="dxa"/>
          </w:tcPr>
          <w:p w14:paraId="0BCFBC50" w14:textId="77777777" w:rsidR="001D4229" w:rsidRDefault="001D4229" w:rsidP="002B0AF4">
            <w:pPr>
              <w:jc w:val="center"/>
              <w:rPr>
                <w:rFonts w:ascii="Arial" w:hAnsi="Arial" w:cs="Arial"/>
              </w:rPr>
            </w:pPr>
            <w:r>
              <w:rPr>
                <w:rFonts w:ascii="Arial" w:hAnsi="Arial" w:cs="Arial"/>
              </w:rPr>
              <w:t>11.3</w:t>
            </w:r>
          </w:p>
        </w:tc>
        <w:tc>
          <w:tcPr>
            <w:tcW w:w="2126" w:type="dxa"/>
          </w:tcPr>
          <w:p w14:paraId="3B77ED8E" w14:textId="77777777" w:rsidR="001D4229" w:rsidRDefault="001D4229" w:rsidP="002B0AF4">
            <w:pPr>
              <w:jc w:val="center"/>
              <w:rPr>
                <w:rFonts w:ascii="Arial" w:hAnsi="Arial" w:cs="Arial"/>
              </w:rPr>
            </w:pPr>
            <w:r>
              <w:rPr>
                <w:rFonts w:ascii="Arial" w:hAnsi="Arial" w:cs="Arial"/>
              </w:rPr>
              <w:t>N/A</w:t>
            </w:r>
          </w:p>
        </w:tc>
        <w:tc>
          <w:tcPr>
            <w:tcW w:w="2410" w:type="dxa"/>
          </w:tcPr>
          <w:p w14:paraId="02E125AD" w14:textId="77777777" w:rsidR="001D4229" w:rsidRDefault="001D4229" w:rsidP="002B0AF4">
            <w:pPr>
              <w:jc w:val="center"/>
              <w:rPr>
                <w:rFonts w:ascii="Arial" w:hAnsi="Arial" w:cs="Arial"/>
              </w:rPr>
            </w:pPr>
            <w:r>
              <w:rPr>
                <w:rFonts w:ascii="Arial" w:hAnsi="Arial" w:cs="Arial"/>
              </w:rPr>
              <w:t>N/A</w:t>
            </w:r>
          </w:p>
        </w:tc>
      </w:tr>
      <w:tr w:rsidR="001D4229" w14:paraId="70FB905A" w14:textId="77777777" w:rsidTr="002B0AF4">
        <w:tc>
          <w:tcPr>
            <w:tcW w:w="959" w:type="dxa"/>
          </w:tcPr>
          <w:p w14:paraId="46F051BF" w14:textId="77777777" w:rsidR="001D4229" w:rsidRDefault="001D4229" w:rsidP="002B0AF4">
            <w:pPr>
              <w:jc w:val="right"/>
              <w:rPr>
                <w:rFonts w:ascii="Arial" w:hAnsi="Arial" w:cs="Arial"/>
              </w:rPr>
            </w:pPr>
            <w:r>
              <w:rPr>
                <w:rFonts w:ascii="Arial" w:hAnsi="Arial" w:cs="Arial"/>
              </w:rPr>
              <w:t>2013</w:t>
            </w:r>
          </w:p>
        </w:tc>
        <w:tc>
          <w:tcPr>
            <w:tcW w:w="2126" w:type="dxa"/>
          </w:tcPr>
          <w:p w14:paraId="0C7CD692" w14:textId="77777777" w:rsidR="001D4229" w:rsidRDefault="001D4229" w:rsidP="002B0AF4">
            <w:pPr>
              <w:jc w:val="center"/>
              <w:rPr>
                <w:rFonts w:ascii="Arial" w:hAnsi="Arial" w:cs="Arial"/>
              </w:rPr>
            </w:pPr>
            <w:r>
              <w:rPr>
                <w:rFonts w:ascii="Arial" w:hAnsi="Arial" w:cs="Arial"/>
              </w:rPr>
              <w:t>16.6</w:t>
            </w:r>
          </w:p>
        </w:tc>
        <w:tc>
          <w:tcPr>
            <w:tcW w:w="2126" w:type="dxa"/>
          </w:tcPr>
          <w:p w14:paraId="2C404BC6" w14:textId="77777777" w:rsidR="001D4229" w:rsidRDefault="001D4229" w:rsidP="002B0AF4">
            <w:pPr>
              <w:jc w:val="center"/>
              <w:rPr>
                <w:rFonts w:ascii="Arial" w:hAnsi="Arial" w:cs="Arial"/>
              </w:rPr>
            </w:pPr>
            <w:r>
              <w:rPr>
                <w:rFonts w:ascii="Arial" w:hAnsi="Arial" w:cs="Arial"/>
              </w:rPr>
              <w:t>23.0</w:t>
            </w:r>
          </w:p>
        </w:tc>
        <w:tc>
          <w:tcPr>
            <w:tcW w:w="2410" w:type="dxa"/>
          </w:tcPr>
          <w:p w14:paraId="39A7AF44" w14:textId="77777777" w:rsidR="001D4229" w:rsidRDefault="001D4229" w:rsidP="002B0AF4">
            <w:pPr>
              <w:jc w:val="center"/>
              <w:rPr>
                <w:rFonts w:ascii="Arial" w:hAnsi="Arial" w:cs="Arial"/>
              </w:rPr>
            </w:pPr>
            <w:r>
              <w:rPr>
                <w:rFonts w:ascii="Arial" w:hAnsi="Arial" w:cs="Arial"/>
              </w:rPr>
              <w:t>0.72</w:t>
            </w:r>
          </w:p>
        </w:tc>
      </w:tr>
      <w:tr w:rsidR="001D4229" w14:paraId="4C09ED73" w14:textId="77777777" w:rsidTr="002B0AF4">
        <w:tc>
          <w:tcPr>
            <w:tcW w:w="959" w:type="dxa"/>
          </w:tcPr>
          <w:p w14:paraId="7DDDC5ED" w14:textId="77777777" w:rsidR="001D4229" w:rsidRDefault="001D4229" w:rsidP="002B0AF4">
            <w:pPr>
              <w:jc w:val="right"/>
              <w:rPr>
                <w:rFonts w:ascii="Arial" w:hAnsi="Arial" w:cs="Arial"/>
              </w:rPr>
            </w:pPr>
            <w:r>
              <w:rPr>
                <w:rFonts w:ascii="Arial" w:hAnsi="Arial" w:cs="Arial"/>
              </w:rPr>
              <w:t>2012</w:t>
            </w:r>
          </w:p>
        </w:tc>
        <w:tc>
          <w:tcPr>
            <w:tcW w:w="2126" w:type="dxa"/>
          </w:tcPr>
          <w:p w14:paraId="3FFF1167" w14:textId="77777777" w:rsidR="001D4229" w:rsidRDefault="001D4229" w:rsidP="002B0AF4">
            <w:pPr>
              <w:jc w:val="center"/>
              <w:rPr>
                <w:rFonts w:ascii="Arial" w:hAnsi="Arial" w:cs="Arial"/>
              </w:rPr>
            </w:pPr>
            <w:r>
              <w:rPr>
                <w:rFonts w:ascii="Arial" w:hAnsi="Arial" w:cs="Arial"/>
              </w:rPr>
              <w:t>16.2</w:t>
            </w:r>
          </w:p>
        </w:tc>
        <w:tc>
          <w:tcPr>
            <w:tcW w:w="2126" w:type="dxa"/>
          </w:tcPr>
          <w:p w14:paraId="374B8372" w14:textId="77777777" w:rsidR="001D4229" w:rsidRDefault="001D4229" w:rsidP="002B0AF4">
            <w:pPr>
              <w:jc w:val="center"/>
              <w:rPr>
                <w:rFonts w:ascii="Arial" w:hAnsi="Arial" w:cs="Arial"/>
              </w:rPr>
            </w:pPr>
            <w:r>
              <w:rPr>
                <w:rFonts w:ascii="Arial" w:hAnsi="Arial" w:cs="Arial"/>
              </w:rPr>
              <w:t>20.6</w:t>
            </w:r>
          </w:p>
        </w:tc>
        <w:tc>
          <w:tcPr>
            <w:tcW w:w="2410" w:type="dxa"/>
          </w:tcPr>
          <w:p w14:paraId="66FE7CE3" w14:textId="77777777" w:rsidR="001D4229" w:rsidRDefault="001D4229" w:rsidP="002B0AF4">
            <w:pPr>
              <w:jc w:val="center"/>
              <w:rPr>
                <w:rFonts w:ascii="Arial" w:hAnsi="Arial" w:cs="Arial"/>
              </w:rPr>
            </w:pPr>
            <w:r>
              <w:rPr>
                <w:rFonts w:ascii="Arial" w:hAnsi="Arial" w:cs="Arial"/>
              </w:rPr>
              <w:t>0.79</w:t>
            </w:r>
          </w:p>
        </w:tc>
      </w:tr>
      <w:tr w:rsidR="001D4229" w14:paraId="7A662148" w14:textId="77777777" w:rsidTr="002B0AF4">
        <w:tc>
          <w:tcPr>
            <w:tcW w:w="959" w:type="dxa"/>
          </w:tcPr>
          <w:p w14:paraId="33E73E94" w14:textId="77777777" w:rsidR="001D4229" w:rsidRDefault="001D4229" w:rsidP="002B0AF4">
            <w:pPr>
              <w:jc w:val="right"/>
              <w:rPr>
                <w:rFonts w:ascii="Arial" w:hAnsi="Arial" w:cs="Arial"/>
              </w:rPr>
            </w:pPr>
            <w:r>
              <w:rPr>
                <w:rFonts w:ascii="Arial" w:hAnsi="Arial" w:cs="Arial"/>
              </w:rPr>
              <w:t>2011</w:t>
            </w:r>
          </w:p>
        </w:tc>
        <w:tc>
          <w:tcPr>
            <w:tcW w:w="2126" w:type="dxa"/>
          </w:tcPr>
          <w:p w14:paraId="49587986" w14:textId="77777777" w:rsidR="001D4229" w:rsidRDefault="001D4229" w:rsidP="002B0AF4">
            <w:pPr>
              <w:jc w:val="center"/>
              <w:rPr>
                <w:rFonts w:ascii="Arial" w:hAnsi="Arial" w:cs="Arial"/>
              </w:rPr>
            </w:pPr>
            <w:r>
              <w:rPr>
                <w:rFonts w:ascii="Arial" w:hAnsi="Arial" w:cs="Arial"/>
              </w:rPr>
              <w:t>15.6</w:t>
            </w:r>
          </w:p>
        </w:tc>
        <w:tc>
          <w:tcPr>
            <w:tcW w:w="2126" w:type="dxa"/>
          </w:tcPr>
          <w:p w14:paraId="623AE7A3" w14:textId="77777777" w:rsidR="001D4229" w:rsidRDefault="001D4229" w:rsidP="002B0AF4">
            <w:pPr>
              <w:jc w:val="center"/>
              <w:rPr>
                <w:rFonts w:ascii="Arial" w:hAnsi="Arial" w:cs="Arial"/>
              </w:rPr>
            </w:pPr>
            <w:r>
              <w:rPr>
                <w:rFonts w:ascii="Arial" w:hAnsi="Arial" w:cs="Arial"/>
              </w:rPr>
              <w:t>22.4</w:t>
            </w:r>
          </w:p>
        </w:tc>
        <w:tc>
          <w:tcPr>
            <w:tcW w:w="2410" w:type="dxa"/>
          </w:tcPr>
          <w:p w14:paraId="08D54FE1" w14:textId="77777777" w:rsidR="001D4229" w:rsidRDefault="001D4229" w:rsidP="002B0AF4">
            <w:pPr>
              <w:jc w:val="center"/>
              <w:rPr>
                <w:rFonts w:ascii="Arial" w:hAnsi="Arial" w:cs="Arial"/>
              </w:rPr>
            </w:pPr>
            <w:r>
              <w:rPr>
                <w:rFonts w:ascii="Arial" w:hAnsi="Arial" w:cs="Arial"/>
              </w:rPr>
              <w:t>0.70</w:t>
            </w:r>
          </w:p>
        </w:tc>
      </w:tr>
      <w:tr w:rsidR="001D4229" w14:paraId="4825594A" w14:textId="77777777" w:rsidTr="002B0AF4">
        <w:tc>
          <w:tcPr>
            <w:tcW w:w="959" w:type="dxa"/>
          </w:tcPr>
          <w:p w14:paraId="3B17D05A" w14:textId="77777777" w:rsidR="001D4229" w:rsidRDefault="001D4229" w:rsidP="002B0AF4">
            <w:pPr>
              <w:jc w:val="right"/>
              <w:rPr>
                <w:rFonts w:ascii="Arial" w:hAnsi="Arial" w:cs="Arial"/>
              </w:rPr>
            </w:pPr>
            <w:r>
              <w:rPr>
                <w:rFonts w:ascii="Arial" w:hAnsi="Arial" w:cs="Arial"/>
              </w:rPr>
              <w:t>2010</w:t>
            </w:r>
          </w:p>
        </w:tc>
        <w:tc>
          <w:tcPr>
            <w:tcW w:w="2126" w:type="dxa"/>
          </w:tcPr>
          <w:p w14:paraId="1BA0D6A7" w14:textId="77777777" w:rsidR="001D4229" w:rsidRDefault="001D4229" w:rsidP="002B0AF4">
            <w:pPr>
              <w:jc w:val="center"/>
              <w:rPr>
                <w:rFonts w:ascii="Arial" w:hAnsi="Arial" w:cs="Arial"/>
              </w:rPr>
            </w:pPr>
            <w:r>
              <w:rPr>
                <w:rFonts w:ascii="Arial" w:hAnsi="Arial" w:cs="Arial"/>
              </w:rPr>
              <w:t>14.5</w:t>
            </w:r>
          </w:p>
        </w:tc>
        <w:tc>
          <w:tcPr>
            <w:tcW w:w="2126" w:type="dxa"/>
          </w:tcPr>
          <w:p w14:paraId="045782DD" w14:textId="77777777" w:rsidR="001D4229" w:rsidRDefault="001D4229" w:rsidP="002B0AF4">
            <w:pPr>
              <w:jc w:val="center"/>
              <w:rPr>
                <w:rFonts w:ascii="Arial" w:hAnsi="Arial" w:cs="Arial"/>
              </w:rPr>
            </w:pPr>
            <w:r>
              <w:rPr>
                <w:rFonts w:ascii="Arial" w:hAnsi="Arial" w:cs="Arial"/>
              </w:rPr>
              <w:t>20.4</w:t>
            </w:r>
          </w:p>
        </w:tc>
        <w:tc>
          <w:tcPr>
            <w:tcW w:w="2410" w:type="dxa"/>
          </w:tcPr>
          <w:p w14:paraId="2C44029F" w14:textId="77777777" w:rsidR="001D4229" w:rsidRDefault="001D4229" w:rsidP="002B0AF4">
            <w:pPr>
              <w:jc w:val="center"/>
              <w:rPr>
                <w:rFonts w:ascii="Arial" w:hAnsi="Arial" w:cs="Arial"/>
              </w:rPr>
            </w:pPr>
            <w:r>
              <w:rPr>
                <w:rFonts w:ascii="Arial" w:hAnsi="Arial" w:cs="Arial"/>
              </w:rPr>
              <w:t>0.71</w:t>
            </w:r>
          </w:p>
        </w:tc>
      </w:tr>
    </w:tbl>
    <w:p w14:paraId="5BDF4951" w14:textId="77777777" w:rsidR="001D4229" w:rsidRDefault="001D4229" w:rsidP="001D4229">
      <w:pPr>
        <w:spacing w:after="0"/>
        <w:rPr>
          <w:rFonts w:ascii="Arial" w:hAnsi="Arial" w:cs="Arial"/>
        </w:rPr>
      </w:pPr>
    </w:p>
    <w:p w14:paraId="200C95AC" w14:textId="77777777" w:rsidR="001D4229" w:rsidRDefault="001D4229" w:rsidP="001D4229">
      <w:pPr>
        <w:spacing w:after="0"/>
        <w:rPr>
          <w:rFonts w:ascii="Arial" w:hAnsi="Arial" w:cs="Arial"/>
        </w:rPr>
      </w:pPr>
      <w:r>
        <w:rPr>
          <w:rFonts w:ascii="Arial" w:hAnsi="Arial" w:cs="Arial"/>
        </w:rPr>
        <w:t>The Horsham DC monitoring station was shut-down after 2017 and so there is no more recent data than presented above. TG(16) allows a generic factor of 0.70 to be used to estimate PM</w:t>
      </w:r>
      <w:r w:rsidRPr="007317D0">
        <w:rPr>
          <w:rFonts w:ascii="Arial" w:hAnsi="Arial" w:cs="Arial"/>
          <w:vertAlign w:val="subscript"/>
        </w:rPr>
        <w:t>2.5</w:t>
      </w:r>
      <w:r>
        <w:rPr>
          <w:rFonts w:ascii="Arial" w:hAnsi="Arial" w:cs="Arial"/>
        </w:rPr>
        <w:t xml:space="preserve"> annual mean concentrations from PM</w:t>
      </w:r>
      <w:r w:rsidRPr="007317D0">
        <w:rPr>
          <w:rFonts w:ascii="Arial" w:hAnsi="Arial" w:cs="Arial"/>
          <w:vertAlign w:val="subscript"/>
        </w:rPr>
        <w:t>10</w:t>
      </w:r>
      <w:r>
        <w:rPr>
          <w:rFonts w:ascii="Arial" w:hAnsi="Arial" w:cs="Arial"/>
        </w:rPr>
        <w:t xml:space="preserve"> annual mean concentrations. In any case it is observed that the TG(16) factor is remarkably similar to the 2013 to 2016 factors derived from Horsham DC’s data.</w:t>
      </w:r>
    </w:p>
    <w:p w14:paraId="1DD6BAE2" w14:textId="77777777" w:rsidR="001D4229" w:rsidRDefault="001D4229" w:rsidP="001D4229">
      <w:pPr>
        <w:spacing w:after="0"/>
        <w:rPr>
          <w:rFonts w:ascii="Arial" w:hAnsi="Arial" w:cs="Arial"/>
        </w:rPr>
      </w:pPr>
    </w:p>
    <w:p w14:paraId="51CC29F2" w14:textId="77777777" w:rsidR="001D4229" w:rsidRDefault="001D4229" w:rsidP="001D4229">
      <w:pPr>
        <w:spacing w:after="0"/>
        <w:rPr>
          <w:rFonts w:ascii="Arial" w:hAnsi="Arial" w:cs="Arial"/>
        </w:rPr>
      </w:pPr>
      <w:r>
        <w:rPr>
          <w:rFonts w:ascii="Arial" w:hAnsi="Arial" w:cs="Arial"/>
        </w:rPr>
        <w:t>The ratios are then applied to CDC’s PM</w:t>
      </w:r>
      <w:r w:rsidRPr="008D6CFA">
        <w:rPr>
          <w:rFonts w:ascii="Arial" w:hAnsi="Arial" w:cs="Arial"/>
          <w:vertAlign w:val="subscript"/>
        </w:rPr>
        <w:t>10</w:t>
      </w:r>
      <w:r>
        <w:rPr>
          <w:rFonts w:ascii="Arial" w:hAnsi="Arial" w:cs="Arial"/>
        </w:rPr>
        <w:t xml:space="preserve"> monitoring data from the Stockbridge air quality monitoring station in order to estimate the PM</w:t>
      </w:r>
      <w:r w:rsidRPr="008D6CFA">
        <w:rPr>
          <w:rFonts w:ascii="Arial" w:hAnsi="Arial" w:cs="Arial"/>
          <w:vertAlign w:val="subscript"/>
        </w:rPr>
        <w:t>2.5</w:t>
      </w:r>
      <w:r>
        <w:rPr>
          <w:rFonts w:ascii="Arial" w:hAnsi="Arial" w:cs="Arial"/>
        </w:rPr>
        <w:t xml:space="preserve"> concentrations in Chichester District at Stockbridge. Note Stockbridge air quality monitoring station is considered to be a worst-case location for air quality monitoring given it’s proximity to the A27 and related volume of traffic. </w:t>
      </w:r>
    </w:p>
    <w:p w14:paraId="20720B72" w14:textId="77777777" w:rsidR="001D4229" w:rsidRDefault="001D4229" w:rsidP="001D4229">
      <w:pPr>
        <w:spacing w:after="0"/>
        <w:rPr>
          <w:rFonts w:ascii="Arial" w:hAnsi="Arial" w:cs="Arial"/>
        </w:rPr>
      </w:pPr>
    </w:p>
    <w:p w14:paraId="522DE8C8" w14:textId="77777777" w:rsidR="001D4229" w:rsidRPr="00F50085" w:rsidRDefault="001D4229" w:rsidP="001D4229">
      <w:pPr>
        <w:pStyle w:val="Caption"/>
        <w:keepNext/>
        <w:spacing w:after="0"/>
        <w:rPr>
          <w:rFonts w:ascii="Arial" w:hAnsi="Arial" w:cs="Arial"/>
          <w:b w:val="0"/>
          <w:bCs w:val="0"/>
          <w:color w:val="auto"/>
          <w:sz w:val="22"/>
          <w:szCs w:val="22"/>
        </w:rPr>
      </w:pPr>
      <w:r w:rsidRPr="00F50085">
        <w:rPr>
          <w:rFonts w:ascii="Arial" w:hAnsi="Arial" w:cs="Arial"/>
          <w:bCs w:val="0"/>
          <w:color w:val="auto"/>
          <w:sz w:val="22"/>
          <w:szCs w:val="22"/>
        </w:rPr>
        <w:t xml:space="preserve">Table </w:t>
      </w:r>
      <w:r w:rsidRPr="00F50085">
        <w:rPr>
          <w:rFonts w:ascii="Arial" w:hAnsi="Arial" w:cs="Arial"/>
          <w:bCs w:val="0"/>
          <w:color w:val="auto"/>
          <w:sz w:val="22"/>
          <w:szCs w:val="22"/>
        </w:rPr>
        <w:fldChar w:fldCharType="begin"/>
      </w:r>
      <w:r w:rsidRPr="00F50085">
        <w:rPr>
          <w:rFonts w:ascii="Arial" w:hAnsi="Arial" w:cs="Arial"/>
          <w:bCs w:val="0"/>
          <w:color w:val="auto"/>
          <w:sz w:val="22"/>
          <w:szCs w:val="22"/>
        </w:rPr>
        <w:instrText xml:space="preserve"> SEQ Table \* ARABIC </w:instrText>
      </w:r>
      <w:r w:rsidRPr="00F50085">
        <w:rPr>
          <w:rFonts w:ascii="Arial" w:hAnsi="Arial" w:cs="Arial"/>
          <w:bCs w:val="0"/>
          <w:color w:val="auto"/>
          <w:sz w:val="22"/>
          <w:szCs w:val="22"/>
        </w:rPr>
        <w:fldChar w:fldCharType="separate"/>
      </w:r>
      <w:r>
        <w:rPr>
          <w:rFonts w:ascii="Arial" w:hAnsi="Arial" w:cs="Arial"/>
          <w:bCs w:val="0"/>
          <w:noProof/>
          <w:color w:val="auto"/>
          <w:sz w:val="22"/>
          <w:szCs w:val="22"/>
        </w:rPr>
        <w:t>16</w:t>
      </w:r>
      <w:r w:rsidRPr="00F50085">
        <w:rPr>
          <w:rFonts w:ascii="Arial" w:hAnsi="Arial" w:cs="Arial"/>
          <w:bCs w:val="0"/>
          <w:color w:val="auto"/>
          <w:sz w:val="22"/>
          <w:szCs w:val="22"/>
        </w:rPr>
        <w:fldChar w:fldCharType="end"/>
      </w:r>
      <w:r w:rsidRPr="00F50085">
        <w:rPr>
          <w:rFonts w:ascii="Arial" w:hAnsi="Arial" w:cs="Arial"/>
          <w:bCs w:val="0"/>
          <w:color w:val="auto"/>
          <w:sz w:val="22"/>
          <w:szCs w:val="22"/>
        </w:rPr>
        <w:t>:</w:t>
      </w:r>
      <w:r w:rsidRPr="00F50085">
        <w:rPr>
          <w:rFonts w:ascii="Arial" w:hAnsi="Arial" w:cs="Arial"/>
          <w:b w:val="0"/>
          <w:bCs w:val="0"/>
          <w:color w:val="auto"/>
          <w:sz w:val="22"/>
          <w:szCs w:val="22"/>
        </w:rPr>
        <w:t xml:space="preserve"> Estimated PM</w:t>
      </w:r>
      <w:r w:rsidRPr="00210D1F">
        <w:rPr>
          <w:rFonts w:ascii="Arial" w:hAnsi="Arial" w:cs="Arial"/>
          <w:b w:val="0"/>
          <w:bCs w:val="0"/>
          <w:color w:val="auto"/>
          <w:sz w:val="22"/>
          <w:szCs w:val="22"/>
          <w:vertAlign w:val="subscript"/>
        </w:rPr>
        <w:t>2.5</w:t>
      </w:r>
      <w:r w:rsidRPr="00F50085">
        <w:rPr>
          <w:rFonts w:ascii="Arial" w:hAnsi="Arial" w:cs="Arial"/>
          <w:b w:val="0"/>
          <w:bCs w:val="0"/>
          <w:color w:val="auto"/>
          <w:sz w:val="22"/>
          <w:szCs w:val="22"/>
        </w:rPr>
        <w:t xml:space="preserve"> concentrations at Stockbridge A27, Chichester:</w:t>
      </w:r>
    </w:p>
    <w:tbl>
      <w:tblPr>
        <w:tblStyle w:val="TableGrid"/>
        <w:tblW w:w="0" w:type="auto"/>
        <w:tblLook w:val="04A0" w:firstRow="1" w:lastRow="0" w:firstColumn="1" w:lastColumn="0" w:noHBand="0" w:noVBand="1"/>
      </w:tblPr>
      <w:tblGrid>
        <w:gridCol w:w="959"/>
        <w:gridCol w:w="2126"/>
        <w:gridCol w:w="2126"/>
        <w:gridCol w:w="2126"/>
      </w:tblGrid>
      <w:tr w:rsidR="001D4229" w14:paraId="78DE2F02" w14:textId="77777777" w:rsidTr="002B0AF4">
        <w:tc>
          <w:tcPr>
            <w:tcW w:w="959" w:type="dxa"/>
          </w:tcPr>
          <w:p w14:paraId="46482EBA" w14:textId="77777777" w:rsidR="001D4229" w:rsidRDefault="001D4229" w:rsidP="002B0AF4">
            <w:pPr>
              <w:jc w:val="right"/>
              <w:rPr>
                <w:rFonts w:ascii="Arial" w:hAnsi="Arial" w:cs="Arial"/>
              </w:rPr>
            </w:pPr>
            <w:r>
              <w:rPr>
                <w:rFonts w:ascii="Arial" w:hAnsi="Arial" w:cs="Arial"/>
              </w:rPr>
              <w:t>Year:</w:t>
            </w:r>
          </w:p>
        </w:tc>
        <w:tc>
          <w:tcPr>
            <w:tcW w:w="2126" w:type="dxa"/>
          </w:tcPr>
          <w:p w14:paraId="5A3568E4" w14:textId="77777777" w:rsidR="001D4229" w:rsidRDefault="001D4229" w:rsidP="002B0AF4">
            <w:pPr>
              <w:jc w:val="center"/>
              <w:rPr>
                <w:rFonts w:ascii="Arial" w:hAnsi="Arial" w:cs="Arial"/>
              </w:rPr>
            </w:pPr>
            <w:r>
              <w:rPr>
                <w:rFonts w:ascii="Arial" w:hAnsi="Arial" w:cs="Arial"/>
              </w:rPr>
              <w:t>Monitored annual mean PM</w:t>
            </w:r>
            <w:r w:rsidRPr="0017350D">
              <w:rPr>
                <w:rFonts w:ascii="Arial" w:hAnsi="Arial" w:cs="Arial"/>
                <w:vertAlign w:val="subscript"/>
              </w:rPr>
              <w:t>10</w:t>
            </w:r>
            <w:r>
              <w:rPr>
                <w:rFonts w:ascii="Arial" w:hAnsi="Arial" w:cs="Arial"/>
              </w:rPr>
              <w:t xml:space="preserve"> concentration (at Stockbridge A27 AQMS) (µgm</w:t>
            </w:r>
            <w:r w:rsidRPr="008D6CFA">
              <w:rPr>
                <w:rFonts w:ascii="Arial" w:hAnsi="Arial" w:cs="Arial"/>
                <w:vertAlign w:val="superscript"/>
              </w:rPr>
              <w:t>-3</w:t>
            </w:r>
            <w:r>
              <w:rPr>
                <w:rFonts w:ascii="Arial" w:hAnsi="Arial" w:cs="Arial"/>
              </w:rPr>
              <w:t>):</w:t>
            </w:r>
          </w:p>
        </w:tc>
        <w:tc>
          <w:tcPr>
            <w:tcW w:w="2126" w:type="dxa"/>
          </w:tcPr>
          <w:p w14:paraId="4E05CC11" w14:textId="77777777" w:rsidR="001D4229" w:rsidRDefault="001D4229" w:rsidP="002B0AF4">
            <w:pPr>
              <w:jc w:val="center"/>
              <w:rPr>
                <w:rFonts w:ascii="Arial" w:hAnsi="Arial" w:cs="Arial"/>
              </w:rPr>
            </w:pPr>
            <w:r>
              <w:rPr>
                <w:rFonts w:ascii="Arial" w:hAnsi="Arial" w:cs="Arial"/>
              </w:rPr>
              <w:t>PM</w:t>
            </w:r>
            <w:r w:rsidRPr="002836E4">
              <w:rPr>
                <w:rFonts w:ascii="Arial" w:hAnsi="Arial" w:cs="Arial"/>
                <w:vertAlign w:val="subscript"/>
              </w:rPr>
              <w:t>10</w:t>
            </w:r>
            <w:r>
              <w:rPr>
                <w:rFonts w:ascii="Arial" w:hAnsi="Arial" w:cs="Arial"/>
              </w:rPr>
              <w:t xml:space="preserve"> to PM</w:t>
            </w:r>
            <w:r w:rsidRPr="002836E4">
              <w:rPr>
                <w:rFonts w:ascii="Arial" w:hAnsi="Arial" w:cs="Arial"/>
                <w:vertAlign w:val="subscript"/>
              </w:rPr>
              <w:t>2.5</w:t>
            </w:r>
            <w:r>
              <w:rPr>
                <w:rFonts w:ascii="Arial" w:hAnsi="Arial" w:cs="Arial"/>
              </w:rPr>
              <w:t xml:space="preserve"> conversion factor</w:t>
            </w:r>
            <w:r w:rsidRPr="00AE701D">
              <w:rPr>
                <w:rFonts w:ascii="Arial" w:hAnsi="Arial" w:cs="Arial"/>
                <w:vertAlign w:val="superscript"/>
              </w:rPr>
              <w:t>a</w:t>
            </w:r>
            <w:r>
              <w:rPr>
                <w:rFonts w:ascii="Arial" w:hAnsi="Arial" w:cs="Arial"/>
              </w:rPr>
              <w:t>:</w:t>
            </w:r>
          </w:p>
        </w:tc>
        <w:tc>
          <w:tcPr>
            <w:tcW w:w="2126" w:type="dxa"/>
          </w:tcPr>
          <w:p w14:paraId="4F728ED4" w14:textId="77777777" w:rsidR="001D4229" w:rsidRDefault="001D4229" w:rsidP="002B0AF4">
            <w:pPr>
              <w:jc w:val="center"/>
              <w:rPr>
                <w:rFonts w:ascii="Arial" w:hAnsi="Arial" w:cs="Arial"/>
              </w:rPr>
            </w:pPr>
            <w:r>
              <w:rPr>
                <w:rFonts w:ascii="Arial" w:hAnsi="Arial" w:cs="Arial"/>
              </w:rPr>
              <w:t>Estimated annual mean PM</w:t>
            </w:r>
            <w:r w:rsidRPr="0017350D">
              <w:rPr>
                <w:rFonts w:ascii="Arial" w:hAnsi="Arial" w:cs="Arial"/>
                <w:vertAlign w:val="subscript"/>
              </w:rPr>
              <w:t>2.5</w:t>
            </w:r>
            <w:r>
              <w:rPr>
                <w:rFonts w:ascii="Arial" w:hAnsi="Arial" w:cs="Arial"/>
              </w:rPr>
              <w:t xml:space="preserve"> concentration (µgm</w:t>
            </w:r>
            <w:r w:rsidRPr="008D6CFA">
              <w:rPr>
                <w:rFonts w:ascii="Arial" w:hAnsi="Arial" w:cs="Arial"/>
                <w:vertAlign w:val="superscript"/>
              </w:rPr>
              <w:t>-3</w:t>
            </w:r>
            <w:r>
              <w:rPr>
                <w:rFonts w:ascii="Arial" w:hAnsi="Arial" w:cs="Arial"/>
              </w:rPr>
              <w:t>):</w:t>
            </w:r>
          </w:p>
        </w:tc>
      </w:tr>
      <w:tr w:rsidR="001D4229" w14:paraId="58DBBEF0" w14:textId="77777777" w:rsidTr="002B0AF4">
        <w:tc>
          <w:tcPr>
            <w:tcW w:w="959" w:type="dxa"/>
          </w:tcPr>
          <w:p w14:paraId="7EBE5150" w14:textId="77777777" w:rsidR="001D4229" w:rsidRDefault="001D4229" w:rsidP="002B0AF4">
            <w:pPr>
              <w:jc w:val="right"/>
              <w:rPr>
                <w:rFonts w:ascii="Arial" w:hAnsi="Arial" w:cs="Arial"/>
              </w:rPr>
            </w:pPr>
            <w:r>
              <w:rPr>
                <w:rFonts w:ascii="Arial" w:hAnsi="Arial" w:cs="Arial"/>
              </w:rPr>
              <w:t>2019</w:t>
            </w:r>
          </w:p>
        </w:tc>
        <w:tc>
          <w:tcPr>
            <w:tcW w:w="2126" w:type="dxa"/>
          </w:tcPr>
          <w:p w14:paraId="66427859" w14:textId="77777777" w:rsidR="001D4229" w:rsidRDefault="001D4229" w:rsidP="002B0AF4">
            <w:pPr>
              <w:jc w:val="center"/>
              <w:rPr>
                <w:rFonts w:ascii="Arial" w:hAnsi="Arial" w:cs="Arial"/>
              </w:rPr>
            </w:pPr>
            <w:r>
              <w:rPr>
                <w:rFonts w:ascii="Arial" w:hAnsi="Arial" w:cs="Arial"/>
              </w:rPr>
              <w:t>19</w:t>
            </w:r>
          </w:p>
        </w:tc>
        <w:tc>
          <w:tcPr>
            <w:tcW w:w="2126" w:type="dxa"/>
          </w:tcPr>
          <w:p w14:paraId="1F0FEC24" w14:textId="77777777" w:rsidR="001D4229" w:rsidRDefault="001D4229" w:rsidP="002B0AF4">
            <w:pPr>
              <w:jc w:val="center"/>
              <w:rPr>
                <w:rFonts w:ascii="Arial" w:hAnsi="Arial" w:cs="Arial"/>
              </w:rPr>
            </w:pPr>
            <w:r>
              <w:rPr>
                <w:rFonts w:ascii="Arial" w:hAnsi="Arial" w:cs="Arial"/>
              </w:rPr>
              <w:t>0.70</w:t>
            </w:r>
          </w:p>
        </w:tc>
        <w:tc>
          <w:tcPr>
            <w:tcW w:w="2126" w:type="dxa"/>
          </w:tcPr>
          <w:p w14:paraId="40E2D394" w14:textId="77777777" w:rsidR="001D4229" w:rsidRDefault="001D4229" w:rsidP="002B0AF4">
            <w:pPr>
              <w:jc w:val="center"/>
              <w:rPr>
                <w:rFonts w:ascii="Arial" w:hAnsi="Arial" w:cs="Arial"/>
              </w:rPr>
            </w:pPr>
            <w:r>
              <w:rPr>
                <w:rFonts w:ascii="Arial" w:hAnsi="Arial" w:cs="Arial"/>
              </w:rPr>
              <w:t>13.3</w:t>
            </w:r>
          </w:p>
        </w:tc>
      </w:tr>
      <w:tr w:rsidR="001D4229" w14:paraId="26201431" w14:textId="77777777" w:rsidTr="002B0AF4">
        <w:tc>
          <w:tcPr>
            <w:tcW w:w="959" w:type="dxa"/>
          </w:tcPr>
          <w:p w14:paraId="0138E5CB" w14:textId="77777777" w:rsidR="001D4229" w:rsidRDefault="001D4229" w:rsidP="002B0AF4">
            <w:pPr>
              <w:jc w:val="right"/>
              <w:rPr>
                <w:rFonts w:ascii="Arial" w:hAnsi="Arial" w:cs="Arial"/>
              </w:rPr>
            </w:pPr>
            <w:r>
              <w:rPr>
                <w:rFonts w:ascii="Arial" w:hAnsi="Arial" w:cs="Arial"/>
              </w:rPr>
              <w:t>2018</w:t>
            </w:r>
          </w:p>
        </w:tc>
        <w:tc>
          <w:tcPr>
            <w:tcW w:w="2126" w:type="dxa"/>
          </w:tcPr>
          <w:p w14:paraId="7ED43FBC" w14:textId="77777777" w:rsidR="001D4229" w:rsidRDefault="001D4229" w:rsidP="002B0AF4">
            <w:pPr>
              <w:jc w:val="center"/>
              <w:rPr>
                <w:rFonts w:ascii="Arial" w:hAnsi="Arial" w:cs="Arial"/>
              </w:rPr>
            </w:pPr>
            <w:r>
              <w:rPr>
                <w:rFonts w:ascii="Arial" w:hAnsi="Arial" w:cs="Arial"/>
              </w:rPr>
              <w:t>18</w:t>
            </w:r>
          </w:p>
        </w:tc>
        <w:tc>
          <w:tcPr>
            <w:tcW w:w="2126" w:type="dxa"/>
          </w:tcPr>
          <w:p w14:paraId="2F9E08D5" w14:textId="77777777" w:rsidR="001D4229" w:rsidRDefault="001D4229" w:rsidP="002B0AF4">
            <w:pPr>
              <w:jc w:val="center"/>
              <w:rPr>
                <w:rFonts w:ascii="Arial" w:hAnsi="Arial" w:cs="Arial"/>
              </w:rPr>
            </w:pPr>
            <w:r>
              <w:rPr>
                <w:rFonts w:ascii="Arial" w:hAnsi="Arial" w:cs="Arial"/>
              </w:rPr>
              <w:t>0.70</w:t>
            </w:r>
          </w:p>
        </w:tc>
        <w:tc>
          <w:tcPr>
            <w:tcW w:w="2126" w:type="dxa"/>
          </w:tcPr>
          <w:p w14:paraId="5CC5AA38" w14:textId="77777777" w:rsidR="001D4229" w:rsidRDefault="001D4229" w:rsidP="002B0AF4">
            <w:pPr>
              <w:jc w:val="center"/>
              <w:rPr>
                <w:rFonts w:ascii="Arial" w:hAnsi="Arial" w:cs="Arial"/>
              </w:rPr>
            </w:pPr>
            <w:r>
              <w:rPr>
                <w:rFonts w:ascii="Arial" w:hAnsi="Arial" w:cs="Arial"/>
              </w:rPr>
              <w:t>12.6</w:t>
            </w:r>
          </w:p>
        </w:tc>
      </w:tr>
      <w:tr w:rsidR="001D4229" w14:paraId="3ABB4C68" w14:textId="77777777" w:rsidTr="002B0AF4">
        <w:tc>
          <w:tcPr>
            <w:tcW w:w="959" w:type="dxa"/>
          </w:tcPr>
          <w:p w14:paraId="37B35A38" w14:textId="77777777" w:rsidR="001D4229" w:rsidRDefault="001D4229" w:rsidP="002B0AF4">
            <w:pPr>
              <w:jc w:val="right"/>
              <w:rPr>
                <w:rFonts w:ascii="Arial" w:hAnsi="Arial" w:cs="Arial"/>
              </w:rPr>
            </w:pPr>
            <w:r>
              <w:rPr>
                <w:rFonts w:ascii="Arial" w:hAnsi="Arial" w:cs="Arial"/>
              </w:rPr>
              <w:t>2017</w:t>
            </w:r>
          </w:p>
        </w:tc>
        <w:tc>
          <w:tcPr>
            <w:tcW w:w="2126" w:type="dxa"/>
          </w:tcPr>
          <w:p w14:paraId="7698D595" w14:textId="77777777" w:rsidR="001D4229" w:rsidRDefault="001D4229" w:rsidP="002B0AF4">
            <w:pPr>
              <w:jc w:val="center"/>
              <w:rPr>
                <w:rFonts w:ascii="Arial" w:hAnsi="Arial" w:cs="Arial"/>
              </w:rPr>
            </w:pPr>
            <w:r>
              <w:rPr>
                <w:rFonts w:ascii="Arial" w:hAnsi="Arial" w:cs="Arial"/>
              </w:rPr>
              <w:t>19</w:t>
            </w:r>
          </w:p>
        </w:tc>
        <w:tc>
          <w:tcPr>
            <w:tcW w:w="2126" w:type="dxa"/>
          </w:tcPr>
          <w:p w14:paraId="60469AA8" w14:textId="77777777" w:rsidR="001D4229" w:rsidRDefault="001D4229" w:rsidP="002B0AF4">
            <w:pPr>
              <w:jc w:val="center"/>
              <w:rPr>
                <w:rFonts w:ascii="Arial" w:hAnsi="Arial" w:cs="Arial"/>
              </w:rPr>
            </w:pPr>
            <w:r>
              <w:rPr>
                <w:rFonts w:ascii="Arial" w:hAnsi="Arial" w:cs="Arial"/>
              </w:rPr>
              <w:t>0.70</w:t>
            </w:r>
          </w:p>
        </w:tc>
        <w:tc>
          <w:tcPr>
            <w:tcW w:w="2126" w:type="dxa"/>
          </w:tcPr>
          <w:p w14:paraId="0FA7FDAB" w14:textId="77777777" w:rsidR="001D4229" w:rsidRDefault="001D4229" w:rsidP="002B0AF4">
            <w:pPr>
              <w:jc w:val="center"/>
              <w:rPr>
                <w:rFonts w:ascii="Arial" w:hAnsi="Arial" w:cs="Arial"/>
              </w:rPr>
            </w:pPr>
            <w:r>
              <w:rPr>
                <w:rFonts w:ascii="Arial" w:hAnsi="Arial" w:cs="Arial"/>
              </w:rPr>
              <w:t>13.3</w:t>
            </w:r>
          </w:p>
        </w:tc>
      </w:tr>
      <w:tr w:rsidR="001D4229" w14:paraId="727A8FE8" w14:textId="77777777" w:rsidTr="002B0AF4">
        <w:tc>
          <w:tcPr>
            <w:tcW w:w="959" w:type="dxa"/>
          </w:tcPr>
          <w:p w14:paraId="3E6F0FF7" w14:textId="77777777" w:rsidR="001D4229" w:rsidRDefault="001D4229" w:rsidP="002B0AF4">
            <w:pPr>
              <w:jc w:val="right"/>
              <w:rPr>
                <w:rFonts w:ascii="Arial" w:hAnsi="Arial" w:cs="Arial"/>
              </w:rPr>
            </w:pPr>
            <w:r>
              <w:rPr>
                <w:rFonts w:ascii="Arial" w:hAnsi="Arial" w:cs="Arial"/>
              </w:rPr>
              <w:t>2016</w:t>
            </w:r>
          </w:p>
        </w:tc>
        <w:tc>
          <w:tcPr>
            <w:tcW w:w="2126" w:type="dxa"/>
          </w:tcPr>
          <w:p w14:paraId="45C45CEF" w14:textId="77777777" w:rsidR="001D4229" w:rsidRDefault="001D4229" w:rsidP="002B0AF4">
            <w:pPr>
              <w:jc w:val="center"/>
              <w:rPr>
                <w:rFonts w:ascii="Arial" w:hAnsi="Arial" w:cs="Arial"/>
              </w:rPr>
            </w:pPr>
            <w:r>
              <w:rPr>
                <w:rFonts w:ascii="Arial" w:hAnsi="Arial" w:cs="Arial"/>
              </w:rPr>
              <w:t>20</w:t>
            </w:r>
          </w:p>
        </w:tc>
        <w:tc>
          <w:tcPr>
            <w:tcW w:w="2126" w:type="dxa"/>
          </w:tcPr>
          <w:p w14:paraId="192E0D60" w14:textId="77777777" w:rsidR="001D4229" w:rsidRDefault="001D4229" w:rsidP="002B0AF4">
            <w:pPr>
              <w:jc w:val="center"/>
              <w:rPr>
                <w:rFonts w:ascii="Arial" w:hAnsi="Arial" w:cs="Arial"/>
              </w:rPr>
            </w:pPr>
            <w:r>
              <w:rPr>
                <w:rFonts w:ascii="Arial" w:hAnsi="Arial" w:cs="Arial"/>
              </w:rPr>
              <w:t>0.70</w:t>
            </w:r>
          </w:p>
        </w:tc>
        <w:tc>
          <w:tcPr>
            <w:tcW w:w="2126" w:type="dxa"/>
          </w:tcPr>
          <w:p w14:paraId="16C3D978" w14:textId="77777777" w:rsidR="001D4229" w:rsidRDefault="001D4229" w:rsidP="002B0AF4">
            <w:pPr>
              <w:jc w:val="center"/>
              <w:rPr>
                <w:rFonts w:ascii="Arial" w:hAnsi="Arial" w:cs="Arial"/>
              </w:rPr>
            </w:pPr>
            <w:r>
              <w:rPr>
                <w:rFonts w:ascii="Arial" w:hAnsi="Arial" w:cs="Arial"/>
              </w:rPr>
              <w:t>14.0</w:t>
            </w:r>
          </w:p>
        </w:tc>
      </w:tr>
      <w:tr w:rsidR="001D4229" w14:paraId="571EBCE3" w14:textId="77777777" w:rsidTr="002B0AF4">
        <w:tc>
          <w:tcPr>
            <w:tcW w:w="959" w:type="dxa"/>
          </w:tcPr>
          <w:p w14:paraId="62EFA3C7" w14:textId="77777777" w:rsidR="001D4229" w:rsidRDefault="001D4229" w:rsidP="002B0AF4">
            <w:pPr>
              <w:jc w:val="right"/>
              <w:rPr>
                <w:rFonts w:ascii="Arial" w:hAnsi="Arial" w:cs="Arial"/>
              </w:rPr>
            </w:pPr>
            <w:r>
              <w:rPr>
                <w:rFonts w:ascii="Arial" w:hAnsi="Arial" w:cs="Arial"/>
              </w:rPr>
              <w:t>2015</w:t>
            </w:r>
          </w:p>
        </w:tc>
        <w:tc>
          <w:tcPr>
            <w:tcW w:w="2126" w:type="dxa"/>
          </w:tcPr>
          <w:p w14:paraId="1E6AE3BC" w14:textId="77777777" w:rsidR="001D4229" w:rsidRDefault="001D4229" w:rsidP="002B0AF4">
            <w:pPr>
              <w:jc w:val="center"/>
              <w:rPr>
                <w:rFonts w:ascii="Arial" w:hAnsi="Arial" w:cs="Arial"/>
              </w:rPr>
            </w:pPr>
            <w:r>
              <w:rPr>
                <w:rFonts w:ascii="Arial" w:hAnsi="Arial" w:cs="Arial"/>
              </w:rPr>
              <w:t>21</w:t>
            </w:r>
          </w:p>
        </w:tc>
        <w:tc>
          <w:tcPr>
            <w:tcW w:w="2126" w:type="dxa"/>
          </w:tcPr>
          <w:p w14:paraId="05AF5FFE" w14:textId="77777777" w:rsidR="001D4229" w:rsidRDefault="001D4229" w:rsidP="002B0AF4">
            <w:pPr>
              <w:jc w:val="center"/>
              <w:rPr>
                <w:rFonts w:ascii="Arial" w:hAnsi="Arial" w:cs="Arial"/>
              </w:rPr>
            </w:pPr>
            <w:r>
              <w:rPr>
                <w:rFonts w:ascii="Arial" w:hAnsi="Arial" w:cs="Arial"/>
              </w:rPr>
              <w:t>0.71</w:t>
            </w:r>
          </w:p>
        </w:tc>
        <w:tc>
          <w:tcPr>
            <w:tcW w:w="2126" w:type="dxa"/>
          </w:tcPr>
          <w:p w14:paraId="34024BB2" w14:textId="77777777" w:rsidR="001D4229" w:rsidRDefault="001D4229" w:rsidP="002B0AF4">
            <w:pPr>
              <w:jc w:val="center"/>
              <w:rPr>
                <w:rFonts w:ascii="Arial" w:hAnsi="Arial" w:cs="Arial"/>
              </w:rPr>
            </w:pPr>
            <w:r>
              <w:rPr>
                <w:rFonts w:ascii="Arial" w:hAnsi="Arial" w:cs="Arial"/>
              </w:rPr>
              <w:t>14.9</w:t>
            </w:r>
          </w:p>
        </w:tc>
      </w:tr>
    </w:tbl>
    <w:p w14:paraId="51412668" w14:textId="77777777" w:rsidR="001D4229" w:rsidRDefault="001D4229" w:rsidP="001D4229">
      <w:pPr>
        <w:spacing w:after="0"/>
        <w:rPr>
          <w:rFonts w:ascii="Arial" w:hAnsi="Arial" w:cs="Arial"/>
        </w:rPr>
      </w:pPr>
      <w:r w:rsidRPr="00AE701D">
        <w:rPr>
          <w:rFonts w:ascii="Arial" w:hAnsi="Arial" w:cs="Arial"/>
          <w:vertAlign w:val="superscript"/>
        </w:rPr>
        <w:t>a</w:t>
      </w:r>
      <w:r>
        <w:rPr>
          <w:rFonts w:ascii="Arial" w:hAnsi="Arial" w:cs="Arial"/>
        </w:rPr>
        <w:t xml:space="preserve"> 2019, 2018 factors are from TG(16), page 7-36, paragraph 7.109; 2015 to 2017 factors are derived from Horsham DC data as detailed above.</w:t>
      </w:r>
    </w:p>
    <w:p w14:paraId="4B6B4ABB" w14:textId="77777777" w:rsidR="001D4229" w:rsidRDefault="001D4229" w:rsidP="001D4229">
      <w:pPr>
        <w:rPr>
          <w:rFonts w:ascii="Arial" w:hAnsi="Arial" w:cs="Arial"/>
        </w:rPr>
      </w:pPr>
      <w:r>
        <w:rPr>
          <w:rFonts w:ascii="Arial" w:hAnsi="Arial" w:cs="Arial"/>
        </w:rPr>
        <w:br w:type="page"/>
      </w:r>
    </w:p>
    <w:p w14:paraId="6E1ED7CD" w14:textId="77777777" w:rsidR="001D4229" w:rsidRDefault="001D4229" w:rsidP="001D4229">
      <w:pPr>
        <w:spacing w:after="0"/>
        <w:rPr>
          <w:rFonts w:ascii="Arial" w:hAnsi="Arial" w:cs="Arial"/>
          <w:b/>
        </w:rPr>
      </w:pPr>
      <w:r>
        <w:rPr>
          <w:rFonts w:ascii="Arial" w:hAnsi="Arial" w:cs="Arial"/>
          <w:b/>
        </w:rPr>
        <w:lastRenderedPageBreak/>
        <w:t>References:</w:t>
      </w:r>
    </w:p>
    <w:p w14:paraId="3049B495" w14:textId="77777777" w:rsidR="001D4229" w:rsidRDefault="001D4229" w:rsidP="001D4229">
      <w:pPr>
        <w:spacing w:after="0"/>
        <w:rPr>
          <w:rFonts w:ascii="Arial" w:hAnsi="Arial" w:cs="Arial"/>
          <w:b/>
        </w:rPr>
      </w:pPr>
    </w:p>
    <w:tbl>
      <w:tblPr>
        <w:tblStyle w:val="TableGrid"/>
        <w:tblW w:w="0" w:type="auto"/>
        <w:tblLook w:val="04A0" w:firstRow="1" w:lastRow="0" w:firstColumn="1" w:lastColumn="0" w:noHBand="0" w:noVBand="1"/>
      </w:tblPr>
      <w:tblGrid>
        <w:gridCol w:w="9016"/>
      </w:tblGrid>
      <w:tr w:rsidR="001D4229" w14:paraId="4BFFD015" w14:textId="77777777" w:rsidTr="002B0AF4">
        <w:tc>
          <w:tcPr>
            <w:tcW w:w="9242" w:type="dxa"/>
          </w:tcPr>
          <w:p w14:paraId="16A17B31" w14:textId="77777777" w:rsidR="001D4229" w:rsidRPr="003343FE" w:rsidRDefault="001D4229" w:rsidP="002B0AF4">
            <w:pPr>
              <w:rPr>
                <w:rFonts w:ascii="Arial" w:hAnsi="Arial" w:cs="Arial"/>
              </w:rPr>
            </w:pPr>
            <w:r w:rsidRPr="003343FE">
              <w:rPr>
                <w:rFonts w:ascii="Arial" w:hAnsi="Arial" w:cs="Arial"/>
              </w:rPr>
              <w:t xml:space="preserve">Air </w:t>
            </w:r>
            <w:r>
              <w:rPr>
                <w:rFonts w:ascii="Arial" w:hAnsi="Arial" w:cs="Arial"/>
              </w:rPr>
              <w:t>Pollution and Street Play 2017, Playing Out</w:t>
            </w:r>
          </w:p>
        </w:tc>
      </w:tr>
      <w:tr w:rsidR="001D4229" w14:paraId="062797CF" w14:textId="77777777" w:rsidTr="002B0AF4">
        <w:tc>
          <w:tcPr>
            <w:tcW w:w="9242" w:type="dxa"/>
          </w:tcPr>
          <w:p w14:paraId="2FDE81D5" w14:textId="77777777" w:rsidR="001D4229" w:rsidRPr="003343FE" w:rsidRDefault="001D4229" w:rsidP="002B0AF4">
            <w:pPr>
              <w:rPr>
                <w:rFonts w:ascii="Arial" w:hAnsi="Arial" w:cs="Arial"/>
              </w:rPr>
            </w:pPr>
            <w:r>
              <w:rPr>
                <w:rFonts w:ascii="Arial" w:hAnsi="Arial" w:cs="Arial"/>
              </w:rPr>
              <w:t>Annual Status Report 2020</w:t>
            </w:r>
          </w:p>
        </w:tc>
      </w:tr>
      <w:tr w:rsidR="001D4229" w14:paraId="2D42C40B" w14:textId="77777777" w:rsidTr="002B0AF4">
        <w:tc>
          <w:tcPr>
            <w:tcW w:w="9242" w:type="dxa"/>
          </w:tcPr>
          <w:p w14:paraId="37F781FE" w14:textId="77777777" w:rsidR="001D4229" w:rsidRDefault="001D4229" w:rsidP="002B0AF4">
            <w:pPr>
              <w:rPr>
                <w:rFonts w:ascii="Arial" w:hAnsi="Arial" w:cs="Arial"/>
              </w:rPr>
            </w:pPr>
            <w:r>
              <w:rPr>
                <w:rFonts w:ascii="Arial" w:hAnsi="Arial" w:cs="Arial"/>
              </w:rPr>
              <w:t>Breathing Better; a partnership approach to improving air quality in West Sussex, May 2018</w:t>
            </w:r>
          </w:p>
        </w:tc>
      </w:tr>
      <w:tr w:rsidR="001D4229" w14:paraId="229F5621" w14:textId="77777777" w:rsidTr="002B0AF4">
        <w:tc>
          <w:tcPr>
            <w:tcW w:w="9242" w:type="dxa"/>
          </w:tcPr>
          <w:p w14:paraId="75679A82" w14:textId="77777777" w:rsidR="001D4229" w:rsidRPr="003343FE" w:rsidRDefault="001D4229" w:rsidP="002B0AF4">
            <w:pPr>
              <w:rPr>
                <w:rFonts w:ascii="Arial" w:hAnsi="Arial" w:cs="Arial"/>
              </w:rPr>
            </w:pPr>
            <w:r w:rsidRPr="003343FE">
              <w:rPr>
                <w:rFonts w:ascii="Arial" w:hAnsi="Arial" w:cs="Arial"/>
              </w:rPr>
              <w:t>Chichester Air Quality Action Plan Review – 2020, Report 1: Baseline modelling update (2020), August 2020</w:t>
            </w:r>
          </w:p>
        </w:tc>
      </w:tr>
      <w:tr w:rsidR="001D4229" w14:paraId="0C530A40" w14:textId="77777777" w:rsidTr="002B0AF4">
        <w:tc>
          <w:tcPr>
            <w:tcW w:w="9242" w:type="dxa"/>
          </w:tcPr>
          <w:p w14:paraId="55B7EEDA" w14:textId="77777777" w:rsidR="001D4229" w:rsidRPr="003343FE" w:rsidRDefault="001D4229" w:rsidP="002B0AF4">
            <w:pPr>
              <w:rPr>
                <w:rFonts w:ascii="Arial" w:hAnsi="Arial" w:cs="Arial"/>
              </w:rPr>
            </w:pPr>
            <w:r w:rsidRPr="003343FE">
              <w:rPr>
                <w:rFonts w:ascii="Arial" w:hAnsi="Arial" w:cs="Arial"/>
              </w:rPr>
              <w:t>Chichester Air Quality Action Plan Review – 2020, Report 2: Scenario modelling, August 2020</w:t>
            </w:r>
          </w:p>
        </w:tc>
      </w:tr>
      <w:tr w:rsidR="001D4229" w14:paraId="30DE43BF" w14:textId="77777777" w:rsidTr="002B0AF4">
        <w:tc>
          <w:tcPr>
            <w:tcW w:w="9242" w:type="dxa"/>
          </w:tcPr>
          <w:p w14:paraId="68BCDFB0" w14:textId="77777777" w:rsidR="001D4229" w:rsidRPr="00DA6A96" w:rsidRDefault="001D4229" w:rsidP="002B0AF4">
            <w:pPr>
              <w:rPr>
                <w:rFonts w:ascii="Arial" w:hAnsi="Arial" w:cs="Arial"/>
              </w:rPr>
            </w:pPr>
            <w:r w:rsidRPr="00DA6A96">
              <w:rPr>
                <w:rFonts w:ascii="Arial" w:hAnsi="Arial" w:cs="Arial"/>
              </w:rPr>
              <w:t>LAQM PG(16), DEFRA</w:t>
            </w:r>
          </w:p>
        </w:tc>
      </w:tr>
      <w:tr w:rsidR="001D4229" w14:paraId="123EA7F4" w14:textId="77777777" w:rsidTr="002B0AF4">
        <w:tc>
          <w:tcPr>
            <w:tcW w:w="9242" w:type="dxa"/>
          </w:tcPr>
          <w:p w14:paraId="59D9C3F0" w14:textId="77777777" w:rsidR="001D4229" w:rsidRPr="00DA6A96" w:rsidRDefault="001D4229" w:rsidP="002B0AF4">
            <w:pPr>
              <w:rPr>
                <w:rFonts w:ascii="Arial" w:hAnsi="Arial" w:cs="Arial"/>
              </w:rPr>
            </w:pPr>
            <w:r w:rsidRPr="00DA6A96">
              <w:rPr>
                <w:rFonts w:ascii="Arial" w:hAnsi="Arial" w:cs="Arial"/>
              </w:rPr>
              <w:t>LAQM TG(16), DEFRA</w:t>
            </w:r>
          </w:p>
        </w:tc>
      </w:tr>
      <w:tr w:rsidR="001D4229" w14:paraId="7D063B7A" w14:textId="77777777" w:rsidTr="002B0AF4">
        <w:tc>
          <w:tcPr>
            <w:tcW w:w="9242" w:type="dxa"/>
          </w:tcPr>
          <w:p w14:paraId="08BE0659" w14:textId="77777777" w:rsidR="001D4229" w:rsidRPr="00DA6A96" w:rsidRDefault="001D4229" w:rsidP="002B0AF4">
            <w:pPr>
              <w:rPr>
                <w:rFonts w:ascii="Arial" w:hAnsi="Arial" w:cs="Arial"/>
              </w:rPr>
            </w:pPr>
            <w:r w:rsidRPr="00DA6A96">
              <w:rPr>
                <w:rFonts w:ascii="Arial" w:hAnsi="Arial" w:cs="Arial"/>
              </w:rPr>
              <w:t>West Sussex Transport Plan</w:t>
            </w:r>
          </w:p>
        </w:tc>
      </w:tr>
    </w:tbl>
    <w:p w14:paraId="7324AB88" w14:textId="77777777" w:rsidR="001D4229" w:rsidRDefault="001D4229" w:rsidP="001D4229">
      <w:pPr>
        <w:spacing w:after="0"/>
        <w:rPr>
          <w:rFonts w:ascii="Arial" w:hAnsi="Arial" w:cs="Arial"/>
          <w:b/>
        </w:rPr>
      </w:pPr>
    </w:p>
    <w:p w14:paraId="60D5761E" w14:textId="77777777" w:rsidR="001D4229" w:rsidRPr="003343FE" w:rsidRDefault="001D4229" w:rsidP="001D4229">
      <w:pPr>
        <w:spacing w:after="0"/>
        <w:rPr>
          <w:rFonts w:ascii="Arial" w:hAnsi="Arial" w:cs="Arial"/>
        </w:rPr>
      </w:pPr>
    </w:p>
    <w:p w14:paraId="14B5E7D0" w14:textId="77777777" w:rsidR="001D4229" w:rsidRDefault="001D4229"/>
    <w:sectPr w:rsidR="001D4229" w:rsidSect="00A7282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D4F20" w14:textId="77777777" w:rsidR="005A3F64" w:rsidRDefault="005A3F64" w:rsidP="00C212D3">
      <w:pPr>
        <w:spacing w:after="0" w:line="240" w:lineRule="auto"/>
      </w:pPr>
      <w:r>
        <w:separator/>
      </w:r>
    </w:p>
  </w:endnote>
  <w:endnote w:type="continuationSeparator" w:id="0">
    <w:p w14:paraId="0856E6BA" w14:textId="77777777" w:rsidR="005A3F64" w:rsidRDefault="005A3F64" w:rsidP="00C212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Sans">
    <w:altName w:val="Times New Roman"/>
    <w:panose1 w:val="00000000000000000000"/>
    <w:charset w:val="00"/>
    <w:family w:val="roman"/>
    <w:notTrueType/>
    <w:pitch w:val="default"/>
  </w:font>
  <w:font w:name="OpenSans-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18B2C" w14:textId="77777777" w:rsidR="005A3F64" w:rsidRPr="007A765C" w:rsidRDefault="005A3F64" w:rsidP="00814E84">
    <w:pPr>
      <w:pStyle w:val="Footer"/>
      <w:tabs>
        <w:tab w:val="right" w:pos="9072"/>
      </w:tabs>
      <w:jc w:val="center"/>
      <w:rPr>
        <w:rFonts w:ascii="Arial" w:hAnsi="Arial" w:cs="Arial"/>
        <w:b/>
        <w:sz w:val="20"/>
      </w:rPr>
    </w:pPr>
    <w:r w:rsidRPr="007A765C">
      <w:rPr>
        <w:rFonts w:ascii="Arial" w:hAnsi="Arial" w:cs="Arial"/>
        <w:b/>
        <w:sz w:val="20"/>
      </w:rPr>
      <w:t>Chichester District Council Air Quality Action Plan 2021</w:t>
    </w:r>
    <w:r>
      <w:rPr>
        <w:rFonts w:ascii="Arial" w:hAnsi="Arial" w:cs="Arial"/>
        <w:b/>
        <w:sz w:val="20"/>
      </w:rPr>
      <w:t xml:space="preserve"> – 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1155350"/>
      <w:docPartObj>
        <w:docPartGallery w:val="Page Numbers (Bottom of Page)"/>
        <w:docPartUnique/>
      </w:docPartObj>
    </w:sdtPr>
    <w:sdtEndPr>
      <w:rPr>
        <w:noProof/>
        <w:sz w:val="20"/>
      </w:rPr>
    </w:sdtEndPr>
    <w:sdtContent>
      <w:p w14:paraId="04004735" w14:textId="77777777" w:rsidR="005A3F64" w:rsidRDefault="005A3F64">
        <w:pPr>
          <w:pStyle w:val="Footer"/>
          <w:pBdr>
            <w:bottom w:val="single" w:sz="6" w:space="1" w:color="auto"/>
          </w:pBdr>
          <w:jc w:val="center"/>
        </w:pPr>
      </w:p>
      <w:p w14:paraId="19B86578" w14:textId="77777777" w:rsidR="005A3F64" w:rsidRPr="002D261C" w:rsidRDefault="005A3F64">
        <w:pPr>
          <w:pStyle w:val="Footer"/>
          <w:jc w:val="center"/>
          <w:rPr>
            <w:sz w:val="20"/>
          </w:rPr>
        </w:pPr>
        <w:r w:rsidRPr="002D261C">
          <w:rPr>
            <w:rFonts w:ascii="Arial" w:hAnsi="Arial" w:cs="Arial"/>
            <w:sz w:val="18"/>
          </w:rPr>
          <w:fldChar w:fldCharType="begin"/>
        </w:r>
        <w:r w:rsidRPr="002D261C">
          <w:rPr>
            <w:rFonts w:ascii="Arial" w:hAnsi="Arial" w:cs="Arial"/>
            <w:sz w:val="18"/>
          </w:rPr>
          <w:instrText xml:space="preserve"> PAGE   \* MERGEFORMAT </w:instrText>
        </w:r>
        <w:r w:rsidRPr="002D261C">
          <w:rPr>
            <w:rFonts w:ascii="Arial" w:hAnsi="Arial" w:cs="Arial"/>
            <w:sz w:val="18"/>
          </w:rPr>
          <w:fldChar w:fldCharType="separate"/>
        </w:r>
        <w:r>
          <w:rPr>
            <w:rFonts w:ascii="Arial" w:hAnsi="Arial" w:cs="Arial"/>
            <w:noProof/>
            <w:sz w:val="18"/>
          </w:rPr>
          <w:t>59</w:t>
        </w:r>
        <w:r w:rsidRPr="002D261C">
          <w:rPr>
            <w:rFonts w:ascii="Arial" w:hAnsi="Arial" w:cs="Arial"/>
            <w:noProof/>
            <w:sz w:val="18"/>
          </w:rPr>
          <w:fldChar w:fldCharType="end"/>
        </w:r>
      </w:p>
    </w:sdtContent>
  </w:sdt>
  <w:p w14:paraId="52195C53" w14:textId="77777777" w:rsidR="005A3F64" w:rsidRDefault="005A3F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A3182" w14:textId="77777777" w:rsidR="005A3F64" w:rsidRDefault="005A3F64" w:rsidP="00C212D3">
      <w:pPr>
        <w:spacing w:after="0" w:line="240" w:lineRule="auto"/>
      </w:pPr>
      <w:r>
        <w:separator/>
      </w:r>
    </w:p>
  </w:footnote>
  <w:footnote w:type="continuationSeparator" w:id="0">
    <w:p w14:paraId="2527E14A" w14:textId="77777777" w:rsidR="005A3F64" w:rsidRDefault="005A3F64" w:rsidP="00C212D3">
      <w:pPr>
        <w:spacing w:after="0" w:line="240" w:lineRule="auto"/>
      </w:pPr>
      <w:r>
        <w:continuationSeparator/>
      </w:r>
    </w:p>
  </w:footnote>
  <w:footnote w:id="1">
    <w:p w14:paraId="25A881D1" w14:textId="77777777" w:rsidR="005A3F64" w:rsidRDefault="005A3F64">
      <w:pPr>
        <w:pStyle w:val="FootnoteText"/>
      </w:pPr>
      <w:r>
        <w:rPr>
          <w:rStyle w:val="FootnoteReference"/>
        </w:rPr>
        <w:footnoteRef/>
      </w:r>
      <w:r>
        <w:t xml:space="preserve"> </w:t>
      </w:r>
      <w:hyperlink r:id="rId1" w:history="1">
        <w:r w:rsidRPr="00B576B3">
          <w:rPr>
            <w:rStyle w:val="Hyperlink"/>
          </w:rPr>
          <w:t>https://www.chichester.gov.uk/pollutioncontrolairquality</w:t>
        </w:r>
      </w:hyperlink>
      <w:r>
        <w:t xml:space="preserve"> </w:t>
      </w:r>
    </w:p>
  </w:footnote>
  <w:footnote w:id="2">
    <w:p w14:paraId="4C88EAF1" w14:textId="77777777" w:rsidR="005A3F64" w:rsidRDefault="005A3F64">
      <w:pPr>
        <w:pStyle w:val="FootnoteText"/>
      </w:pPr>
      <w:r>
        <w:rPr>
          <w:rStyle w:val="FootnoteReference"/>
        </w:rPr>
        <w:footnoteRef/>
      </w:r>
      <w:r>
        <w:t xml:space="preserve"> </w:t>
      </w:r>
      <w:hyperlink r:id="rId2" w:history="1">
        <w:r w:rsidRPr="002C1B2E">
          <w:rPr>
            <w:rStyle w:val="Hyperlink"/>
          </w:rPr>
          <w:t>https://uk-air.defra.gov.uk/assets/documents/National_air_quality_objectives.pdf</w:t>
        </w:r>
      </w:hyperlink>
      <w:r>
        <w:t xml:space="preserve"> </w:t>
      </w:r>
    </w:p>
  </w:footnote>
  <w:footnote w:id="3">
    <w:p w14:paraId="3BAA0C59" w14:textId="77777777" w:rsidR="005A3F64" w:rsidRDefault="005A3F64">
      <w:pPr>
        <w:pStyle w:val="FootnoteText"/>
      </w:pPr>
      <w:r>
        <w:rPr>
          <w:rStyle w:val="FootnoteReference"/>
        </w:rPr>
        <w:footnoteRef/>
      </w:r>
      <w:r>
        <w:t xml:space="preserve"> </w:t>
      </w:r>
      <w:hyperlink r:id="rId3" w:history="1">
        <w:r>
          <w:rPr>
            <w:rStyle w:val="Hyperlink"/>
          </w:rPr>
          <w:t>https://www.chichester.gov.uk/pollutioncontrolairquality</w:t>
        </w:r>
      </w:hyperlink>
    </w:p>
  </w:footnote>
  <w:footnote w:id="4">
    <w:p w14:paraId="4B9D1569" w14:textId="77777777" w:rsidR="005A3F64" w:rsidRDefault="005A3F64" w:rsidP="00BB3353">
      <w:pPr>
        <w:pStyle w:val="FootnoteText"/>
      </w:pPr>
      <w:r>
        <w:rPr>
          <w:rStyle w:val="FootnoteReference"/>
        </w:rPr>
        <w:footnoteRef/>
      </w:r>
      <w:r>
        <w:t xml:space="preserve"> Objectives for other pollutants are not included here are air quality is compliant with them in Chichester and largely so across the UK.</w:t>
      </w:r>
    </w:p>
  </w:footnote>
  <w:footnote w:id="5">
    <w:p w14:paraId="2C9AD6BB" w14:textId="77777777" w:rsidR="005A3F64" w:rsidRDefault="005A3F64">
      <w:pPr>
        <w:pStyle w:val="FootnoteText"/>
      </w:pPr>
      <w:r>
        <w:rPr>
          <w:rStyle w:val="FootnoteReference"/>
        </w:rPr>
        <w:footnoteRef/>
      </w:r>
      <w:r>
        <w:t xml:space="preserve"> </w:t>
      </w:r>
      <w:hyperlink r:id="rId4" w:history="1">
        <w:r>
          <w:rPr>
            <w:rStyle w:val="Hyperlink"/>
          </w:rPr>
          <w:t>https://assets.publishing.service.gov.uk/government/uploads/system/uploads/attachment_data/file/770715/clean-air-strategy-2019.pdf</w:t>
        </w:r>
      </w:hyperlink>
    </w:p>
  </w:footnote>
  <w:footnote w:id="6">
    <w:p w14:paraId="4B2C7DDA" w14:textId="77777777" w:rsidR="005A3F64" w:rsidRDefault="005A3F64">
      <w:pPr>
        <w:pStyle w:val="FootnoteText"/>
      </w:pPr>
      <w:r>
        <w:rPr>
          <w:rStyle w:val="FootnoteReference"/>
        </w:rPr>
        <w:footnoteRef/>
      </w:r>
      <w:r>
        <w:t xml:space="preserve"> See the Section on the Environment Bill.</w:t>
      </w:r>
    </w:p>
  </w:footnote>
  <w:footnote w:id="7">
    <w:p w14:paraId="04E4FDB3" w14:textId="77777777" w:rsidR="005A3F64" w:rsidRDefault="005A3F64">
      <w:pPr>
        <w:pStyle w:val="FootnoteText"/>
      </w:pPr>
      <w:r>
        <w:rPr>
          <w:rStyle w:val="FootnoteReference"/>
        </w:rPr>
        <w:footnoteRef/>
      </w:r>
      <w:r>
        <w:t xml:space="preserve"> The Guidance is yet to be updated for the removal of EU references.</w:t>
      </w:r>
    </w:p>
  </w:footnote>
  <w:footnote w:id="8">
    <w:p w14:paraId="5FE565E9" w14:textId="2CE96A27" w:rsidR="005A3F64" w:rsidRDefault="005A3F64">
      <w:pPr>
        <w:pStyle w:val="FootnoteText"/>
      </w:pPr>
      <w:r>
        <w:rPr>
          <w:rStyle w:val="FootnoteReference"/>
        </w:rPr>
        <w:footnoteRef/>
      </w:r>
      <w:r>
        <w:t xml:space="preserve"> See Appendix 5 which suggests that CDC’s air quality meets that standard, in the worst case location, by a large margin.</w:t>
      </w:r>
    </w:p>
  </w:footnote>
  <w:footnote w:id="9">
    <w:p w14:paraId="7E838A16" w14:textId="77777777" w:rsidR="005A3F64" w:rsidRDefault="005A3F64">
      <w:pPr>
        <w:pStyle w:val="FootnoteText"/>
      </w:pPr>
      <w:r>
        <w:rPr>
          <w:rStyle w:val="FootnoteReference"/>
        </w:rPr>
        <w:footnoteRef/>
      </w:r>
      <w:r>
        <w:t xml:space="preserve"> Burning wood and coal in open fires and stoves makes up 38% of the UK’s primary emissions of fine particulate matter (PM</w:t>
      </w:r>
      <w:r w:rsidRPr="00F056CA">
        <w:rPr>
          <w:vertAlign w:val="subscript"/>
        </w:rPr>
        <w:t>2.5</w:t>
      </w:r>
      <w:r>
        <w:t>).</w:t>
      </w:r>
    </w:p>
  </w:footnote>
  <w:footnote w:id="10">
    <w:p w14:paraId="17556428" w14:textId="77777777" w:rsidR="005A3F64" w:rsidRDefault="005A3F64">
      <w:pPr>
        <w:pStyle w:val="FootnoteText"/>
      </w:pPr>
      <w:r>
        <w:rPr>
          <w:rStyle w:val="FootnoteReference"/>
        </w:rPr>
        <w:footnoteRef/>
      </w:r>
      <w:r>
        <w:t xml:space="preserve"> </w:t>
      </w:r>
      <w:hyperlink r:id="rId5" w:anchor="page/0/gid/1/pat/6/par/E12000008/ati/101/are/E07000225/cid/4/page-options/ovw-do-0" w:history="1">
        <w:r>
          <w:rPr>
            <w:rStyle w:val="Hyperlink"/>
          </w:rPr>
          <w:t>https://fingertips.phe.org.uk/search/particulate#page/0/gid/1/pat/6/par/E12000008/ati/101/are/E07000225/cid/4/page-options/ovw-do-0</w:t>
        </w:r>
      </w:hyperlink>
    </w:p>
  </w:footnote>
  <w:footnote w:id="11">
    <w:p w14:paraId="41F0173E" w14:textId="77777777" w:rsidR="005A3F64" w:rsidRDefault="005A3F64">
      <w:pPr>
        <w:pStyle w:val="FootnoteText"/>
      </w:pPr>
      <w:r>
        <w:rPr>
          <w:rStyle w:val="FootnoteReference"/>
        </w:rPr>
        <w:footnoteRef/>
      </w:r>
      <w:r>
        <w:t xml:space="preserve"> Range 5% Chichester to 6.5% Dartford.</w:t>
      </w:r>
    </w:p>
  </w:footnote>
  <w:footnote w:id="12">
    <w:p w14:paraId="32B86EA8" w14:textId="77777777" w:rsidR="005A3F64" w:rsidRDefault="005A3F64">
      <w:pPr>
        <w:pStyle w:val="FootnoteText"/>
      </w:pPr>
      <w:r>
        <w:rPr>
          <w:rStyle w:val="FootnoteReference"/>
        </w:rPr>
        <w:footnoteRef/>
      </w:r>
      <w:r>
        <w:t xml:space="preserve"> </w:t>
      </w:r>
      <w:hyperlink r:id="rId6" w:history="1">
        <w:r w:rsidRPr="002C1B2E">
          <w:rPr>
            <w:rStyle w:val="Hyperlink"/>
          </w:rPr>
          <w:t>https://sussex-air.net/ImprovingAQ/Default.aspx</w:t>
        </w:r>
      </w:hyperlink>
      <w:r>
        <w:t xml:space="preserve"> </w:t>
      </w:r>
    </w:p>
  </w:footnote>
  <w:footnote w:id="13">
    <w:p w14:paraId="6879E14B" w14:textId="77777777" w:rsidR="005A3F64" w:rsidRDefault="005A3F64">
      <w:pPr>
        <w:pStyle w:val="FootnoteText"/>
      </w:pPr>
      <w:r>
        <w:rPr>
          <w:rStyle w:val="FootnoteReference"/>
        </w:rPr>
        <w:footnoteRef/>
      </w:r>
      <w:r>
        <w:t xml:space="preserve"> </w:t>
      </w:r>
      <w:hyperlink r:id="rId7" w:history="1">
        <w:r w:rsidRPr="0070499B">
          <w:rPr>
            <w:rStyle w:val="Hyperlink"/>
          </w:rPr>
          <w:t>https://www.westsussex.gov.uk/media/14787/climate_change_strategy_2020-2030.pdf</w:t>
        </w:r>
      </w:hyperlink>
      <w:r>
        <w:t xml:space="preserve"> </w:t>
      </w:r>
    </w:p>
  </w:footnote>
  <w:footnote w:id="14">
    <w:p w14:paraId="26C4F847" w14:textId="77777777" w:rsidR="005A3F64" w:rsidRDefault="005A3F64">
      <w:pPr>
        <w:pStyle w:val="FootnoteText"/>
      </w:pPr>
      <w:r>
        <w:rPr>
          <w:rStyle w:val="FootnoteReference"/>
        </w:rPr>
        <w:footnoteRef/>
      </w:r>
      <w:r>
        <w:t xml:space="preserve"> </w:t>
      </w:r>
      <w:hyperlink r:id="rId8" w:history="1">
        <w:r w:rsidRPr="0070499B">
          <w:rPr>
            <w:rStyle w:val="Hyperlink"/>
          </w:rPr>
          <w:t>https://www.westsussex.gov.uk/roads-and-travel/travel-and-public-transport/travelwise-sustainable-transport/electric-vehicles/</w:t>
        </w:r>
      </w:hyperlink>
      <w:r>
        <w:t xml:space="preserve"> </w:t>
      </w:r>
    </w:p>
  </w:footnote>
  <w:footnote w:id="15">
    <w:p w14:paraId="6D758332" w14:textId="77777777" w:rsidR="005A3F64" w:rsidRDefault="005A3F64">
      <w:pPr>
        <w:pStyle w:val="FootnoteText"/>
      </w:pPr>
      <w:r>
        <w:rPr>
          <w:rStyle w:val="FootnoteReference"/>
        </w:rPr>
        <w:footnoteRef/>
      </w:r>
      <w:r>
        <w:t xml:space="preserve"> </w:t>
      </w:r>
      <w:hyperlink r:id="rId9" w:history="1">
        <w:r>
          <w:rPr>
            <w:rStyle w:val="Hyperlink"/>
          </w:rPr>
          <w:t>http://www.sussex-air.net/Reports/SussexAQGuidanceV.12020.pdf</w:t>
        </w:r>
      </w:hyperlink>
    </w:p>
  </w:footnote>
  <w:footnote w:id="16">
    <w:p w14:paraId="50371956" w14:textId="77777777" w:rsidR="005A3F64" w:rsidRDefault="005A3F64">
      <w:pPr>
        <w:pStyle w:val="FootnoteText"/>
      </w:pPr>
      <w:r>
        <w:rPr>
          <w:rStyle w:val="FootnoteReference"/>
        </w:rPr>
        <w:footnoteRef/>
      </w:r>
      <w:r>
        <w:t xml:space="preserve"> As two separate awards of £70K and £61K.</w:t>
      </w:r>
    </w:p>
  </w:footnote>
  <w:footnote w:id="17">
    <w:p w14:paraId="6CD3E1F7" w14:textId="77777777" w:rsidR="005A3F64" w:rsidRDefault="005A3F64">
      <w:pPr>
        <w:pStyle w:val="FootnoteText"/>
      </w:pPr>
      <w:r>
        <w:rPr>
          <w:rStyle w:val="FootnoteReference"/>
        </w:rPr>
        <w:footnoteRef/>
      </w:r>
      <w:r>
        <w:t xml:space="preserve"> All AQMA plans are </w:t>
      </w:r>
      <w:r w:rsidRPr="00A4014D">
        <w:t xml:space="preserve">taken from the plan on the </w:t>
      </w:r>
      <w:r>
        <w:t>declaration O</w:t>
      </w:r>
      <w:r w:rsidRPr="00A4014D">
        <w:t>rder</w:t>
      </w:r>
      <w:r>
        <w:t xml:space="preserve"> at: </w:t>
      </w:r>
      <w:hyperlink r:id="rId10" w:history="1">
        <w:r w:rsidRPr="00483CED">
          <w:rPr>
            <w:rStyle w:val="Hyperlink"/>
          </w:rPr>
          <w:t>https://www.chichester.gov.uk/pollutioncontrolairquality</w:t>
        </w:r>
      </w:hyperlink>
      <w:r>
        <w:t xml:space="preserve"> </w:t>
      </w:r>
    </w:p>
  </w:footnote>
  <w:footnote w:id="18">
    <w:p w14:paraId="1790A5E3" w14:textId="77777777" w:rsidR="005A3F64" w:rsidRDefault="005A3F64">
      <w:pPr>
        <w:pStyle w:val="FootnoteText"/>
      </w:pPr>
      <w:r>
        <w:rPr>
          <w:rStyle w:val="FootnoteReference"/>
        </w:rPr>
        <w:footnoteRef/>
      </w:r>
      <w:r>
        <w:t xml:space="preserve"> East of Stockbridge A27 roundabout and AQMA on the north of the A27.</w:t>
      </w:r>
    </w:p>
  </w:footnote>
  <w:footnote w:id="19">
    <w:p w14:paraId="2338B156" w14:textId="77777777" w:rsidR="005A3F64" w:rsidRDefault="005A3F64">
      <w:pPr>
        <w:pStyle w:val="FootnoteText"/>
      </w:pPr>
      <w:r>
        <w:rPr>
          <w:rStyle w:val="FootnoteReference"/>
        </w:rPr>
        <w:footnoteRef/>
      </w:r>
      <w:r>
        <w:t xml:space="preserve"> </w:t>
      </w:r>
      <w:hyperlink r:id="rId11" w:history="1">
        <w:r>
          <w:rPr>
            <w:rStyle w:val="Hyperlink"/>
          </w:rPr>
          <w:t>https://www.chichester.gov.uk/pollutioncontrolairquality</w:t>
        </w:r>
      </w:hyperlink>
    </w:p>
  </w:footnote>
  <w:footnote w:id="20">
    <w:p w14:paraId="50F7E8BD" w14:textId="551AFDA3" w:rsidR="005A3F64" w:rsidRDefault="005A3F64">
      <w:pPr>
        <w:pStyle w:val="FootnoteText"/>
      </w:pPr>
      <w:r>
        <w:rPr>
          <w:rStyle w:val="FootnoteReference"/>
        </w:rPr>
        <w:footnoteRef/>
      </w:r>
      <w:r>
        <w:t xml:space="preserve"> Some pollution changes its chemical and/or physical form during that journey. For instance some gaseous emissions turn into small particles (for example PM</w:t>
      </w:r>
      <w:r w:rsidRPr="00C8232C">
        <w:rPr>
          <w:vertAlign w:val="subscript"/>
        </w:rPr>
        <w:t>2.5</w:t>
      </w:r>
      <w:r>
        <w:t>), some mixtures of gases react to form new gases (for example Ozone) and some particles join together to form bigger particles or simply drop-out of the air stream through a variety of mechanisms.</w:t>
      </w:r>
    </w:p>
  </w:footnote>
  <w:footnote w:id="21">
    <w:p w14:paraId="51A872DA" w14:textId="77777777" w:rsidR="005A3F64" w:rsidRDefault="005A3F64">
      <w:pPr>
        <w:pStyle w:val="FootnoteText"/>
      </w:pPr>
      <w:r>
        <w:rPr>
          <w:rStyle w:val="FootnoteReference"/>
        </w:rPr>
        <w:footnoteRef/>
      </w:r>
      <w:r>
        <w:t xml:space="preserve"> Note: from a scientific point of view these monitoring locations are not measuring purely background pollution but they are classified as ‘urban background sites’ in accordance with DEFRA guidance for LAQM purposes.</w:t>
      </w:r>
    </w:p>
  </w:footnote>
  <w:footnote w:id="22">
    <w:p w14:paraId="464AE704" w14:textId="77777777" w:rsidR="005A3F64" w:rsidRDefault="005A3F64">
      <w:pPr>
        <w:pStyle w:val="FootnoteText"/>
      </w:pPr>
      <w:r>
        <w:rPr>
          <w:rStyle w:val="FootnoteReference"/>
        </w:rPr>
        <w:footnoteRef/>
      </w:r>
      <w:r>
        <w:t xml:space="preserve"> Data from: </w:t>
      </w:r>
      <w:hyperlink r:id="rId12" w:history="1">
        <w:r>
          <w:rPr>
            <w:rStyle w:val="Hyperlink"/>
          </w:rPr>
          <w:t>https://uk-air.defra.gov.uk/data/laqm-background-maps?year=2011</w:t>
        </w:r>
      </w:hyperlink>
    </w:p>
  </w:footnote>
  <w:footnote w:id="23">
    <w:p w14:paraId="428D6BC8" w14:textId="77777777" w:rsidR="005A3F64" w:rsidRDefault="005A3F64">
      <w:pPr>
        <w:pStyle w:val="FootnoteText"/>
      </w:pPr>
      <w:r>
        <w:rPr>
          <w:rStyle w:val="FootnoteReference"/>
        </w:rPr>
        <w:footnoteRef/>
      </w:r>
      <w:r>
        <w:t xml:space="preserve"> Data range for 2019 6.94 to 15.86µgm</w:t>
      </w:r>
      <w:r w:rsidRPr="004366EE">
        <w:rPr>
          <w:vertAlign w:val="superscript"/>
        </w:rPr>
        <w:t>-3</w:t>
      </w:r>
      <w:r>
        <w:t>.</w:t>
      </w:r>
    </w:p>
  </w:footnote>
  <w:footnote w:id="24">
    <w:p w14:paraId="466C9DA4" w14:textId="77777777" w:rsidR="005A3F64" w:rsidRDefault="005A3F64">
      <w:pPr>
        <w:pStyle w:val="FootnoteText"/>
      </w:pPr>
      <w:r>
        <w:rPr>
          <w:rStyle w:val="FootnoteReference"/>
        </w:rPr>
        <w:footnoteRef/>
      </w:r>
      <w:r>
        <w:t xml:space="preserve"> Note that the data is only averaged for the monitoring sites that have existed across the whole period (Kings Avenue/Southbank Junction, Claremont Court, A27 air quality monitoring station, Stockbridge Road South, Cleveland Road, Westhampnett Road, The Hornet, St Pancras, Arthur Purchase North Street, St Pancras, Orchard Street) .</w:t>
      </w:r>
    </w:p>
  </w:footnote>
  <w:footnote w:id="25">
    <w:p w14:paraId="4FE86914" w14:textId="77777777" w:rsidR="005A3F64" w:rsidRDefault="005A3F64">
      <w:pPr>
        <w:pStyle w:val="FootnoteText"/>
      </w:pPr>
      <w:r>
        <w:rPr>
          <w:rStyle w:val="FootnoteReference"/>
        </w:rPr>
        <w:footnoteRef/>
      </w:r>
      <w:r>
        <w:t xml:space="preserve"> At the time of writing the 2019 ASR.</w:t>
      </w:r>
    </w:p>
  </w:footnote>
  <w:footnote w:id="26">
    <w:p w14:paraId="22140F91" w14:textId="77777777" w:rsidR="005A3F64" w:rsidRDefault="005A3F64">
      <w:pPr>
        <w:pStyle w:val="FootnoteText"/>
      </w:pPr>
      <w:r>
        <w:rPr>
          <w:rStyle w:val="FootnoteReference"/>
        </w:rPr>
        <w:footnoteRef/>
      </w:r>
      <w:r>
        <w:t xml:space="preserve"> where three diffusion tubes are co-located in order to provide a performance check on the data they provide, known as a bias correction factor.</w:t>
      </w:r>
    </w:p>
  </w:footnote>
  <w:footnote w:id="27">
    <w:p w14:paraId="76A5E558" w14:textId="77777777" w:rsidR="005A3F64" w:rsidRDefault="005A3F64" w:rsidP="00AF25F2">
      <w:pPr>
        <w:pStyle w:val="FootnoteText"/>
      </w:pPr>
      <w:r>
        <w:rPr>
          <w:rStyle w:val="FootnoteReference"/>
        </w:rPr>
        <w:footnoteRef/>
      </w:r>
      <w:r>
        <w:t xml:space="preserve"> The Guidance is yet to be updated for the removal of EU references.</w:t>
      </w:r>
    </w:p>
  </w:footnote>
  <w:footnote w:id="28">
    <w:p w14:paraId="555C5F99" w14:textId="77777777" w:rsidR="005A3F64" w:rsidRDefault="005A3F64">
      <w:pPr>
        <w:pStyle w:val="FootnoteText"/>
      </w:pPr>
      <w:r>
        <w:rPr>
          <w:rStyle w:val="FootnoteReference"/>
        </w:rPr>
        <w:footnoteRef/>
      </w:r>
      <w:r>
        <w:t xml:space="preserve"> The capital cost of installing the station was funded by European grant money as part of a Sussex-air Interreg project.</w:t>
      </w:r>
    </w:p>
  </w:footnote>
  <w:footnote w:id="29">
    <w:p w14:paraId="5F2D6475" w14:textId="2DC64C93" w:rsidR="005A3F64" w:rsidRDefault="005A3F64">
      <w:pPr>
        <w:pStyle w:val="FootnoteText"/>
      </w:pPr>
      <w:r>
        <w:rPr>
          <w:rStyle w:val="FootnoteReference"/>
        </w:rPr>
        <w:footnoteRef/>
      </w:r>
      <w:r>
        <w:t xml:space="preserve"> The model out-puts for particulates (PM</w:t>
      </w:r>
      <w:r w:rsidRPr="001D1052">
        <w:rPr>
          <w:vertAlign w:val="subscript"/>
        </w:rPr>
        <w:t>10</w:t>
      </w:r>
      <w:r>
        <w:t xml:space="preserve"> and PM</w:t>
      </w:r>
      <w:r w:rsidRPr="001D1052">
        <w:rPr>
          <w:vertAlign w:val="subscript"/>
        </w:rPr>
        <w:t>2.5</w:t>
      </w:r>
      <w:r>
        <w:t>) are included in the full modelling report appendices.</w:t>
      </w:r>
    </w:p>
  </w:footnote>
  <w:footnote w:id="30">
    <w:p w14:paraId="6B73C0FB" w14:textId="77777777" w:rsidR="005A3F64" w:rsidRDefault="005A3F64">
      <w:pPr>
        <w:pStyle w:val="FootnoteText"/>
      </w:pPr>
      <w:r>
        <w:rPr>
          <w:rStyle w:val="FootnoteReference"/>
        </w:rPr>
        <w:footnoteRef/>
      </w:r>
      <w:r>
        <w:t xml:space="preserve"> See Appendix D Table D.2.</w:t>
      </w:r>
    </w:p>
  </w:footnote>
  <w:footnote w:id="31">
    <w:p w14:paraId="10046C72" w14:textId="77777777" w:rsidR="005A3F64" w:rsidRDefault="005A3F64">
      <w:pPr>
        <w:pStyle w:val="FootnoteText"/>
      </w:pPr>
      <w:r>
        <w:rPr>
          <w:rStyle w:val="FootnoteReference"/>
        </w:rPr>
        <w:footnoteRef/>
      </w:r>
      <w:r>
        <w:t xml:space="preserve"> The calculation is made in accordance with DEFRA Guidance TG(16), page 7-35, Box 7.6.</w:t>
      </w:r>
    </w:p>
  </w:footnote>
  <w:footnote w:id="32">
    <w:p w14:paraId="14C1081D" w14:textId="77777777" w:rsidR="005A3F64" w:rsidRDefault="005A3F64">
      <w:pPr>
        <w:pStyle w:val="FootnoteText"/>
      </w:pPr>
      <w:r>
        <w:rPr>
          <w:rStyle w:val="FootnoteReference"/>
        </w:rPr>
        <w:footnoteRef/>
      </w:r>
      <w:r>
        <w:t xml:space="preserve"> One such scheme is Eco-stars </w:t>
      </w:r>
      <w:hyperlink r:id="rId13" w:history="1">
        <w:r w:rsidRPr="005D419E">
          <w:rPr>
            <w:rStyle w:val="Hyperlink"/>
          </w:rPr>
          <w:t>https://www.ecostars-uk.com/</w:t>
        </w:r>
      </w:hyperlink>
      <w:r>
        <w:t xml:space="preserve"> </w:t>
      </w:r>
    </w:p>
  </w:footnote>
  <w:footnote w:id="33">
    <w:p w14:paraId="4C610AF0" w14:textId="77777777" w:rsidR="005A3F64" w:rsidRDefault="005A3F64">
      <w:pPr>
        <w:pStyle w:val="FootnoteText"/>
      </w:pPr>
      <w:r>
        <w:rPr>
          <w:rStyle w:val="FootnoteReference"/>
        </w:rPr>
        <w:footnoteRef/>
      </w:r>
      <w:r>
        <w:t xml:space="preserve"> CDC currently has a watching brief for the installation of EV charging points where we are monitoring the usage statistics of our current network before they suggest that further installations should be considered. </w:t>
      </w:r>
    </w:p>
  </w:footnote>
  <w:footnote w:id="34">
    <w:p w14:paraId="41ED8130" w14:textId="77777777" w:rsidR="005A3F64" w:rsidRDefault="005A3F64">
      <w:pPr>
        <w:pStyle w:val="FootnoteText"/>
      </w:pPr>
      <w:r>
        <w:rPr>
          <w:rStyle w:val="FootnoteReference"/>
        </w:rPr>
        <w:footnoteRef/>
      </w:r>
      <w:r>
        <w:t xml:space="preserve"> Where buses and/or coaches might sit idling for extended periods.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CBC32" w14:textId="2BCEBF1C" w:rsidR="005A3F64" w:rsidRPr="00535A5A" w:rsidRDefault="005A3F64" w:rsidP="006F5637">
    <w:pPr>
      <w:pStyle w:val="Header"/>
      <w:pBdr>
        <w:bottom w:val="single" w:sz="6" w:space="1" w:color="auto"/>
      </w:pBdr>
      <w:jc w:val="center"/>
      <w:rPr>
        <w:b/>
        <w:sz w:val="24"/>
        <w14:shadow w14:blurRad="63500" w14:dist="50800" w14:dir="13500000" w14:sx="0" w14:sy="0" w14:kx="0" w14:ky="0" w14:algn="none">
          <w14:srgbClr w14:val="000000">
            <w14:alpha w14:val="50000"/>
          </w14:srgbClr>
        </w14:shadow>
      </w:rPr>
    </w:pPr>
    <w:r>
      <w:rPr>
        <w:b/>
        <w:sz w:val="24"/>
      </w:rPr>
      <w:t>Chichester District Council</w:t>
    </w:r>
  </w:p>
  <w:p w14:paraId="4E1CA247" w14:textId="77777777" w:rsidR="005A3F64" w:rsidRPr="00C52768" w:rsidRDefault="005A3F64" w:rsidP="006F5637">
    <w:pPr>
      <w:pStyle w:val="Header"/>
      <w:jc w:val="center"/>
      <w:rPr>
        <w:b/>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F4106" w14:textId="77777777" w:rsidR="005A3F64" w:rsidRPr="00BD3D77" w:rsidRDefault="005A3F64" w:rsidP="00070E1F">
    <w:pPr>
      <w:pStyle w:val="Header"/>
      <w:pBdr>
        <w:bottom w:val="single" w:sz="6" w:space="1" w:color="auto"/>
      </w:pBdr>
      <w:jc w:val="center"/>
      <w:rPr>
        <w:rFonts w:cs="Arial"/>
        <w:b/>
        <w:sz w:val="20"/>
      </w:rPr>
    </w:pPr>
    <w:r w:rsidRPr="00BD3D77">
      <w:rPr>
        <w:rFonts w:cs="Arial"/>
        <w:b/>
        <w:sz w:val="20"/>
      </w:rPr>
      <w:t>Chichester District Council</w:t>
    </w:r>
  </w:p>
  <w:p w14:paraId="6ECE8314" w14:textId="77777777" w:rsidR="005A3F64" w:rsidRDefault="005A3F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7ECA"/>
    <w:multiLevelType w:val="hybridMultilevel"/>
    <w:tmpl w:val="C20CF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ED48D6"/>
    <w:multiLevelType w:val="hybridMultilevel"/>
    <w:tmpl w:val="FD2076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F029CE"/>
    <w:multiLevelType w:val="hybridMultilevel"/>
    <w:tmpl w:val="EA9A9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49381E"/>
    <w:multiLevelType w:val="hybridMultilevel"/>
    <w:tmpl w:val="18969640"/>
    <w:lvl w:ilvl="0" w:tplc="D9124602">
      <w:numFmt w:val="bullet"/>
      <w:lvlText w:val=""/>
      <w:lvlJc w:val="left"/>
      <w:pPr>
        <w:ind w:left="720" w:hanging="360"/>
      </w:pPr>
      <w:rPr>
        <w:rFonts w:ascii="Wingdings" w:eastAsiaTheme="minorHAnsi" w:hAnsi="Wingdings" w:cstheme="minorBidi" w:hint="default"/>
        <w:color w:val="EEECE1"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3F18AC"/>
    <w:multiLevelType w:val="hybridMultilevel"/>
    <w:tmpl w:val="5E123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AA1B4D"/>
    <w:multiLevelType w:val="hybridMultilevel"/>
    <w:tmpl w:val="1FCE6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746B35"/>
    <w:multiLevelType w:val="multilevel"/>
    <w:tmpl w:val="2222D1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857498"/>
    <w:multiLevelType w:val="hybridMultilevel"/>
    <w:tmpl w:val="5672E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301604"/>
    <w:multiLevelType w:val="hybridMultilevel"/>
    <w:tmpl w:val="B05C54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9861C54"/>
    <w:multiLevelType w:val="hybridMultilevel"/>
    <w:tmpl w:val="15FCE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D66D0B"/>
    <w:multiLevelType w:val="hybridMultilevel"/>
    <w:tmpl w:val="11E26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467A94"/>
    <w:multiLevelType w:val="hybridMultilevel"/>
    <w:tmpl w:val="89808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8D650B"/>
    <w:multiLevelType w:val="hybridMultilevel"/>
    <w:tmpl w:val="4692C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9B3708"/>
    <w:multiLevelType w:val="hybridMultilevel"/>
    <w:tmpl w:val="E46A4F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B1A750E"/>
    <w:multiLevelType w:val="hybridMultilevel"/>
    <w:tmpl w:val="F3E8BF9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E84D90"/>
    <w:multiLevelType w:val="hybridMultilevel"/>
    <w:tmpl w:val="80B41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7328C2"/>
    <w:multiLevelType w:val="hybridMultilevel"/>
    <w:tmpl w:val="88CA1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4700C7"/>
    <w:multiLevelType w:val="hybridMultilevel"/>
    <w:tmpl w:val="FD16F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C84ACC"/>
    <w:multiLevelType w:val="hybridMultilevel"/>
    <w:tmpl w:val="5C386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E96BD1"/>
    <w:multiLevelType w:val="hybridMultilevel"/>
    <w:tmpl w:val="0AF00E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C307A3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E4B382B"/>
    <w:multiLevelType w:val="hybridMultilevel"/>
    <w:tmpl w:val="1BD06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882AE3"/>
    <w:multiLevelType w:val="hybridMultilevel"/>
    <w:tmpl w:val="04DE0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705FD5"/>
    <w:multiLevelType w:val="hybridMultilevel"/>
    <w:tmpl w:val="91560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6068EF"/>
    <w:multiLevelType w:val="hybridMultilevel"/>
    <w:tmpl w:val="D5D00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A82072"/>
    <w:multiLevelType w:val="hybridMultilevel"/>
    <w:tmpl w:val="BA9A5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9D0C8A"/>
    <w:multiLevelType w:val="hybridMultilevel"/>
    <w:tmpl w:val="D750D8D8"/>
    <w:lvl w:ilvl="0" w:tplc="7DD6E46A">
      <w:start w:val="1"/>
      <w:numFmt w:val="decimal"/>
      <w:lvlText w:val="%1."/>
      <w:lvlJc w:val="left"/>
      <w:pPr>
        <w:ind w:left="72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A7357C2"/>
    <w:multiLevelType w:val="hybridMultilevel"/>
    <w:tmpl w:val="DE4CB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7"/>
  </w:num>
  <w:num w:numId="3">
    <w:abstractNumId w:val="0"/>
  </w:num>
  <w:num w:numId="4">
    <w:abstractNumId w:val="25"/>
  </w:num>
  <w:num w:numId="5">
    <w:abstractNumId w:val="21"/>
  </w:num>
  <w:num w:numId="6">
    <w:abstractNumId w:val="12"/>
  </w:num>
  <w:num w:numId="7">
    <w:abstractNumId w:val="24"/>
  </w:num>
  <w:num w:numId="8">
    <w:abstractNumId w:val="7"/>
  </w:num>
  <w:num w:numId="9">
    <w:abstractNumId w:val="22"/>
  </w:num>
  <w:num w:numId="10">
    <w:abstractNumId w:val="23"/>
  </w:num>
  <w:num w:numId="11">
    <w:abstractNumId w:val="8"/>
  </w:num>
  <w:num w:numId="12">
    <w:abstractNumId w:val="9"/>
  </w:num>
  <w:num w:numId="13">
    <w:abstractNumId w:val="18"/>
  </w:num>
  <w:num w:numId="14">
    <w:abstractNumId w:val="11"/>
  </w:num>
  <w:num w:numId="15">
    <w:abstractNumId w:val="15"/>
  </w:num>
  <w:num w:numId="16">
    <w:abstractNumId w:val="17"/>
  </w:num>
  <w:num w:numId="17">
    <w:abstractNumId w:val="16"/>
  </w:num>
  <w:num w:numId="18">
    <w:abstractNumId w:val="5"/>
  </w:num>
  <w:num w:numId="19">
    <w:abstractNumId w:val="10"/>
  </w:num>
  <w:num w:numId="20">
    <w:abstractNumId w:val="14"/>
  </w:num>
  <w:num w:numId="21">
    <w:abstractNumId w:val="4"/>
  </w:num>
  <w:num w:numId="22">
    <w:abstractNumId w:val="6"/>
  </w:num>
  <w:num w:numId="23">
    <w:abstractNumId w:val="1"/>
  </w:num>
  <w:num w:numId="24">
    <w:abstractNumId w:val="19"/>
  </w:num>
  <w:num w:numId="25">
    <w:abstractNumId w:val="26"/>
  </w:num>
  <w:num w:numId="26">
    <w:abstractNumId w:val="20"/>
  </w:num>
  <w:num w:numId="27">
    <w:abstractNumId w:val="13"/>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B37"/>
    <w:rsid w:val="00006E20"/>
    <w:rsid w:val="000070D4"/>
    <w:rsid w:val="00007EBF"/>
    <w:rsid w:val="00023D23"/>
    <w:rsid w:val="0002782C"/>
    <w:rsid w:val="00035088"/>
    <w:rsid w:val="0006487A"/>
    <w:rsid w:val="00064CD7"/>
    <w:rsid w:val="00070E1F"/>
    <w:rsid w:val="00071ADC"/>
    <w:rsid w:val="0007653F"/>
    <w:rsid w:val="0007676B"/>
    <w:rsid w:val="0007798C"/>
    <w:rsid w:val="00081214"/>
    <w:rsid w:val="00083942"/>
    <w:rsid w:val="00092275"/>
    <w:rsid w:val="00093AD1"/>
    <w:rsid w:val="0009639B"/>
    <w:rsid w:val="000A536E"/>
    <w:rsid w:val="000A57B0"/>
    <w:rsid w:val="000A57CF"/>
    <w:rsid w:val="000A6D47"/>
    <w:rsid w:val="000B2FC6"/>
    <w:rsid w:val="000B594E"/>
    <w:rsid w:val="000B6B3B"/>
    <w:rsid w:val="000D18CD"/>
    <w:rsid w:val="000D5674"/>
    <w:rsid w:val="000F23B7"/>
    <w:rsid w:val="000F474F"/>
    <w:rsid w:val="00103A73"/>
    <w:rsid w:val="00104989"/>
    <w:rsid w:val="00104A71"/>
    <w:rsid w:val="001107AA"/>
    <w:rsid w:val="00112F91"/>
    <w:rsid w:val="001205CC"/>
    <w:rsid w:val="00123FB2"/>
    <w:rsid w:val="00124F60"/>
    <w:rsid w:val="0012692B"/>
    <w:rsid w:val="00136C3B"/>
    <w:rsid w:val="00140F73"/>
    <w:rsid w:val="00152657"/>
    <w:rsid w:val="00156F7C"/>
    <w:rsid w:val="0017350D"/>
    <w:rsid w:val="00177AC2"/>
    <w:rsid w:val="0019370C"/>
    <w:rsid w:val="001A0C8C"/>
    <w:rsid w:val="001A0E2C"/>
    <w:rsid w:val="001A13B6"/>
    <w:rsid w:val="001A5343"/>
    <w:rsid w:val="001A70F5"/>
    <w:rsid w:val="001B088D"/>
    <w:rsid w:val="001B0B75"/>
    <w:rsid w:val="001B400F"/>
    <w:rsid w:val="001C513C"/>
    <w:rsid w:val="001C6FB3"/>
    <w:rsid w:val="001D1052"/>
    <w:rsid w:val="001D298E"/>
    <w:rsid w:val="001D4229"/>
    <w:rsid w:val="001E3BF6"/>
    <w:rsid w:val="001E657D"/>
    <w:rsid w:val="00201F61"/>
    <w:rsid w:val="00210D1F"/>
    <w:rsid w:val="00232376"/>
    <w:rsid w:val="00234841"/>
    <w:rsid w:val="00237984"/>
    <w:rsid w:val="002477A0"/>
    <w:rsid w:val="00254DAA"/>
    <w:rsid w:val="002836E4"/>
    <w:rsid w:val="00286933"/>
    <w:rsid w:val="00290E1C"/>
    <w:rsid w:val="00291121"/>
    <w:rsid w:val="00292B43"/>
    <w:rsid w:val="00294AD4"/>
    <w:rsid w:val="002A2907"/>
    <w:rsid w:val="002D17F8"/>
    <w:rsid w:val="002D261C"/>
    <w:rsid w:val="002E4E4F"/>
    <w:rsid w:val="002F2C2E"/>
    <w:rsid w:val="002F6159"/>
    <w:rsid w:val="003266CD"/>
    <w:rsid w:val="003276E6"/>
    <w:rsid w:val="00333EC8"/>
    <w:rsid w:val="003343FE"/>
    <w:rsid w:val="00341F9E"/>
    <w:rsid w:val="00342BAF"/>
    <w:rsid w:val="00350455"/>
    <w:rsid w:val="00351B2F"/>
    <w:rsid w:val="003520DE"/>
    <w:rsid w:val="003536DF"/>
    <w:rsid w:val="003744D4"/>
    <w:rsid w:val="003A097D"/>
    <w:rsid w:val="003A482B"/>
    <w:rsid w:val="003A7245"/>
    <w:rsid w:val="003B051A"/>
    <w:rsid w:val="003B2ED7"/>
    <w:rsid w:val="003B47CD"/>
    <w:rsid w:val="003B4B91"/>
    <w:rsid w:val="003C355D"/>
    <w:rsid w:val="003E525E"/>
    <w:rsid w:val="003E6D08"/>
    <w:rsid w:val="00401950"/>
    <w:rsid w:val="0040407E"/>
    <w:rsid w:val="00407853"/>
    <w:rsid w:val="00420F55"/>
    <w:rsid w:val="00424DE3"/>
    <w:rsid w:val="004250E0"/>
    <w:rsid w:val="004332EE"/>
    <w:rsid w:val="004366EE"/>
    <w:rsid w:val="0044074D"/>
    <w:rsid w:val="00442FD7"/>
    <w:rsid w:val="00443ED8"/>
    <w:rsid w:val="00454272"/>
    <w:rsid w:val="0046287C"/>
    <w:rsid w:val="00470812"/>
    <w:rsid w:val="00484694"/>
    <w:rsid w:val="0049131F"/>
    <w:rsid w:val="00495FF1"/>
    <w:rsid w:val="004A43B0"/>
    <w:rsid w:val="004B3B63"/>
    <w:rsid w:val="004B48DD"/>
    <w:rsid w:val="004B6861"/>
    <w:rsid w:val="004D339D"/>
    <w:rsid w:val="004D3B39"/>
    <w:rsid w:val="004D5E0C"/>
    <w:rsid w:val="004F1360"/>
    <w:rsid w:val="00505F7B"/>
    <w:rsid w:val="0051217D"/>
    <w:rsid w:val="00513BB2"/>
    <w:rsid w:val="00535A5A"/>
    <w:rsid w:val="005368E3"/>
    <w:rsid w:val="005421CC"/>
    <w:rsid w:val="005446DF"/>
    <w:rsid w:val="005473E2"/>
    <w:rsid w:val="005509E7"/>
    <w:rsid w:val="00565DB5"/>
    <w:rsid w:val="00570D12"/>
    <w:rsid w:val="005723D3"/>
    <w:rsid w:val="005754DF"/>
    <w:rsid w:val="005A3F64"/>
    <w:rsid w:val="005A61F4"/>
    <w:rsid w:val="005B3C11"/>
    <w:rsid w:val="005C30B0"/>
    <w:rsid w:val="005C3B37"/>
    <w:rsid w:val="005C3C74"/>
    <w:rsid w:val="005D48B8"/>
    <w:rsid w:val="005E4FD8"/>
    <w:rsid w:val="005E5625"/>
    <w:rsid w:val="005F4241"/>
    <w:rsid w:val="006257FF"/>
    <w:rsid w:val="00634C98"/>
    <w:rsid w:val="00636C17"/>
    <w:rsid w:val="006378DD"/>
    <w:rsid w:val="00637C32"/>
    <w:rsid w:val="00643FA8"/>
    <w:rsid w:val="0065373B"/>
    <w:rsid w:val="0065509E"/>
    <w:rsid w:val="00655806"/>
    <w:rsid w:val="00655909"/>
    <w:rsid w:val="00660440"/>
    <w:rsid w:val="00661257"/>
    <w:rsid w:val="00666A43"/>
    <w:rsid w:val="0067540E"/>
    <w:rsid w:val="00677F27"/>
    <w:rsid w:val="006811F1"/>
    <w:rsid w:val="00684F49"/>
    <w:rsid w:val="006905D5"/>
    <w:rsid w:val="00692510"/>
    <w:rsid w:val="00694363"/>
    <w:rsid w:val="0069598E"/>
    <w:rsid w:val="006A00BC"/>
    <w:rsid w:val="006A0E33"/>
    <w:rsid w:val="006A179D"/>
    <w:rsid w:val="006A2D53"/>
    <w:rsid w:val="006B644D"/>
    <w:rsid w:val="006C492D"/>
    <w:rsid w:val="006D09EC"/>
    <w:rsid w:val="006D15FF"/>
    <w:rsid w:val="006D2BA2"/>
    <w:rsid w:val="006D6E00"/>
    <w:rsid w:val="006E6E7D"/>
    <w:rsid w:val="006F2FE1"/>
    <w:rsid w:val="006F5637"/>
    <w:rsid w:val="006F5D25"/>
    <w:rsid w:val="00711A88"/>
    <w:rsid w:val="007224BA"/>
    <w:rsid w:val="0072788E"/>
    <w:rsid w:val="007317D0"/>
    <w:rsid w:val="00733FCC"/>
    <w:rsid w:val="00741034"/>
    <w:rsid w:val="0074561A"/>
    <w:rsid w:val="00757474"/>
    <w:rsid w:val="0076415D"/>
    <w:rsid w:val="0077258B"/>
    <w:rsid w:val="007806A1"/>
    <w:rsid w:val="0078342A"/>
    <w:rsid w:val="00785E8A"/>
    <w:rsid w:val="00793BD6"/>
    <w:rsid w:val="00796FA7"/>
    <w:rsid w:val="00796FE3"/>
    <w:rsid w:val="00797E47"/>
    <w:rsid w:val="007A1294"/>
    <w:rsid w:val="007A2194"/>
    <w:rsid w:val="007A2E61"/>
    <w:rsid w:val="007A389A"/>
    <w:rsid w:val="007A43DF"/>
    <w:rsid w:val="007A765C"/>
    <w:rsid w:val="007B506E"/>
    <w:rsid w:val="007C19C0"/>
    <w:rsid w:val="007D3B34"/>
    <w:rsid w:val="007D3CD5"/>
    <w:rsid w:val="007D582A"/>
    <w:rsid w:val="007F184E"/>
    <w:rsid w:val="007F3290"/>
    <w:rsid w:val="00805D45"/>
    <w:rsid w:val="00807E39"/>
    <w:rsid w:val="008102D9"/>
    <w:rsid w:val="00811B67"/>
    <w:rsid w:val="00814E84"/>
    <w:rsid w:val="00817098"/>
    <w:rsid w:val="00842A16"/>
    <w:rsid w:val="00843A0C"/>
    <w:rsid w:val="00843B7F"/>
    <w:rsid w:val="00845E79"/>
    <w:rsid w:val="0085650C"/>
    <w:rsid w:val="0085740F"/>
    <w:rsid w:val="00861754"/>
    <w:rsid w:val="00873906"/>
    <w:rsid w:val="00890E2F"/>
    <w:rsid w:val="00891691"/>
    <w:rsid w:val="00893320"/>
    <w:rsid w:val="008A40D3"/>
    <w:rsid w:val="008B2D43"/>
    <w:rsid w:val="008D4730"/>
    <w:rsid w:val="008D58F0"/>
    <w:rsid w:val="008D68D8"/>
    <w:rsid w:val="008D6CFA"/>
    <w:rsid w:val="008E55F3"/>
    <w:rsid w:val="00900DC7"/>
    <w:rsid w:val="00911EE9"/>
    <w:rsid w:val="00924A30"/>
    <w:rsid w:val="00927AC7"/>
    <w:rsid w:val="00927D46"/>
    <w:rsid w:val="009309BB"/>
    <w:rsid w:val="00932E50"/>
    <w:rsid w:val="00935DED"/>
    <w:rsid w:val="00937553"/>
    <w:rsid w:val="00947DF1"/>
    <w:rsid w:val="00950A1D"/>
    <w:rsid w:val="00950B17"/>
    <w:rsid w:val="009567FE"/>
    <w:rsid w:val="00957F23"/>
    <w:rsid w:val="00957FEC"/>
    <w:rsid w:val="009601E2"/>
    <w:rsid w:val="009608F3"/>
    <w:rsid w:val="0096252A"/>
    <w:rsid w:val="009628CF"/>
    <w:rsid w:val="009631DE"/>
    <w:rsid w:val="00964F8E"/>
    <w:rsid w:val="00965CF8"/>
    <w:rsid w:val="00970F5C"/>
    <w:rsid w:val="009713B4"/>
    <w:rsid w:val="00974084"/>
    <w:rsid w:val="009804EE"/>
    <w:rsid w:val="00987CF6"/>
    <w:rsid w:val="0099345A"/>
    <w:rsid w:val="0099567C"/>
    <w:rsid w:val="009B023F"/>
    <w:rsid w:val="009B082D"/>
    <w:rsid w:val="009B7EB0"/>
    <w:rsid w:val="009C17F9"/>
    <w:rsid w:val="009D2E91"/>
    <w:rsid w:val="009E2BBB"/>
    <w:rsid w:val="009F57E4"/>
    <w:rsid w:val="009F60C4"/>
    <w:rsid w:val="00A00EAF"/>
    <w:rsid w:val="00A13586"/>
    <w:rsid w:val="00A148E8"/>
    <w:rsid w:val="00A25434"/>
    <w:rsid w:val="00A26849"/>
    <w:rsid w:val="00A3128C"/>
    <w:rsid w:val="00A31C9F"/>
    <w:rsid w:val="00A4014D"/>
    <w:rsid w:val="00A437CC"/>
    <w:rsid w:val="00A47848"/>
    <w:rsid w:val="00A53F30"/>
    <w:rsid w:val="00A66758"/>
    <w:rsid w:val="00A70C6B"/>
    <w:rsid w:val="00A7282B"/>
    <w:rsid w:val="00A760FF"/>
    <w:rsid w:val="00A81DF1"/>
    <w:rsid w:val="00A86E12"/>
    <w:rsid w:val="00A97AA2"/>
    <w:rsid w:val="00AA4D03"/>
    <w:rsid w:val="00AA7001"/>
    <w:rsid w:val="00AB77F9"/>
    <w:rsid w:val="00AC27E2"/>
    <w:rsid w:val="00AC39A0"/>
    <w:rsid w:val="00AD6B38"/>
    <w:rsid w:val="00AE701D"/>
    <w:rsid w:val="00AF0BCE"/>
    <w:rsid w:val="00AF25F2"/>
    <w:rsid w:val="00B048A1"/>
    <w:rsid w:val="00B13E7D"/>
    <w:rsid w:val="00B15A5B"/>
    <w:rsid w:val="00B15C1F"/>
    <w:rsid w:val="00B16735"/>
    <w:rsid w:val="00B322C0"/>
    <w:rsid w:val="00B355CE"/>
    <w:rsid w:val="00B42903"/>
    <w:rsid w:val="00B46CDB"/>
    <w:rsid w:val="00B61C7B"/>
    <w:rsid w:val="00B64098"/>
    <w:rsid w:val="00B6602E"/>
    <w:rsid w:val="00B670ED"/>
    <w:rsid w:val="00B705CC"/>
    <w:rsid w:val="00B8630F"/>
    <w:rsid w:val="00B920D2"/>
    <w:rsid w:val="00B95B78"/>
    <w:rsid w:val="00BA00AF"/>
    <w:rsid w:val="00BA4751"/>
    <w:rsid w:val="00BA645A"/>
    <w:rsid w:val="00BB23A5"/>
    <w:rsid w:val="00BB3353"/>
    <w:rsid w:val="00BB47E9"/>
    <w:rsid w:val="00BB5163"/>
    <w:rsid w:val="00BB62A0"/>
    <w:rsid w:val="00BC034A"/>
    <w:rsid w:val="00BC5BB7"/>
    <w:rsid w:val="00BD1F34"/>
    <w:rsid w:val="00BD3D77"/>
    <w:rsid w:val="00BD5B5B"/>
    <w:rsid w:val="00BF1879"/>
    <w:rsid w:val="00C10B44"/>
    <w:rsid w:val="00C164E3"/>
    <w:rsid w:val="00C212D3"/>
    <w:rsid w:val="00C21E1E"/>
    <w:rsid w:val="00C2280B"/>
    <w:rsid w:val="00C31373"/>
    <w:rsid w:val="00C3649E"/>
    <w:rsid w:val="00C4128F"/>
    <w:rsid w:val="00C44B10"/>
    <w:rsid w:val="00C45604"/>
    <w:rsid w:val="00C47672"/>
    <w:rsid w:val="00C50B38"/>
    <w:rsid w:val="00C601D3"/>
    <w:rsid w:val="00C70558"/>
    <w:rsid w:val="00C7561A"/>
    <w:rsid w:val="00C8232C"/>
    <w:rsid w:val="00C95859"/>
    <w:rsid w:val="00CA1A82"/>
    <w:rsid w:val="00CA3C4F"/>
    <w:rsid w:val="00CA4CC6"/>
    <w:rsid w:val="00CA58BB"/>
    <w:rsid w:val="00CC11A0"/>
    <w:rsid w:val="00CC1DB3"/>
    <w:rsid w:val="00CC4A66"/>
    <w:rsid w:val="00CC5CB7"/>
    <w:rsid w:val="00CC63B1"/>
    <w:rsid w:val="00CD4878"/>
    <w:rsid w:val="00CE5EDE"/>
    <w:rsid w:val="00CF662E"/>
    <w:rsid w:val="00D04AF6"/>
    <w:rsid w:val="00D066B0"/>
    <w:rsid w:val="00D066EC"/>
    <w:rsid w:val="00D17C5C"/>
    <w:rsid w:val="00D23D0D"/>
    <w:rsid w:val="00D240F4"/>
    <w:rsid w:val="00D260CB"/>
    <w:rsid w:val="00D36FB6"/>
    <w:rsid w:val="00D462C1"/>
    <w:rsid w:val="00D520D0"/>
    <w:rsid w:val="00D6583E"/>
    <w:rsid w:val="00D665A9"/>
    <w:rsid w:val="00D7049B"/>
    <w:rsid w:val="00D72133"/>
    <w:rsid w:val="00D72DD7"/>
    <w:rsid w:val="00D8035E"/>
    <w:rsid w:val="00D83339"/>
    <w:rsid w:val="00DA6A96"/>
    <w:rsid w:val="00DB2CE5"/>
    <w:rsid w:val="00DB5A9D"/>
    <w:rsid w:val="00DB6CD1"/>
    <w:rsid w:val="00DB7BAC"/>
    <w:rsid w:val="00DC12BD"/>
    <w:rsid w:val="00DC6D7D"/>
    <w:rsid w:val="00DD2AFF"/>
    <w:rsid w:val="00DE2182"/>
    <w:rsid w:val="00DE5211"/>
    <w:rsid w:val="00DE5E45"/>
    <w:rsid w:val="00DF2229"/>
    <w:rsid w:val="00DF60BA"/>
    <w:rsid w:val="00DF7FC6"/>
    <w:rsid w:val="00E06347"/>
    <w:rsid w:val="00E11A8B"/>
    <w:rsid w:val="00E14830"/>
    <w:rsid w:val="00E23A51"/>
    <w:rsid w:val="00E36F08"/>
    <w:rsid w:val="00E43291"/>
    <w:rsid w:val="00E560A4"/>
    <w:rsid w:val="00E56BF0"/>
    <w:rsid w:val="00E63093"/>
    <w:rsid w:val="00E6374A"/>
    <w:rsid w:val="00E73C65"/>
    <w:rsid w:val="00E74A3F"/>
    <w:rsid w:val="00E81D3C"/>
    <w:rsid w:val="00EA04AD"/>
    <w:rsid w:val="00EA0D1F"/>
    <w:rsid w:val="00EA1526"/>
    <w:rsid w:val="00EA2944"/>
    <w:rsid w:val="00EA49A7"/>
    <w:rsid w:val="00EB15D1"/>
    <w:rsid w:val="00EB5554"/>
    <w:rsid w:val="00EC2058"/>
    <w:rsid w:val="00EC492F"/>
    <w:rsid w:val="00EC6AD7"/>
    <w:rsid w:val="00ED2565"/>
    <w:rsid w:val="00EE2540"/>
    <w:rsid w:val="00EF1E90"/>
    <w:rsid w:val="00F027C5"/>
    <w:rsid w:val="00F056CA"/>
    <w:rsid w:val="00F07EC2"/>
    <w:rsid w:val="00F11F09"/>
    <w:rsid w:val="00F152C4"/>
    <w:rsid w:val="00F15934"/>
    <w:rsid w:val="00F17454"/>
    <w:rsid w:val="00F263D3"/>
    <w:rsid w:val="00F264B1"/>
    <w:rsid w:val="00F50085"/>
    <w:rsid w:val="00F5334D"/>
    <w:rsid w:val="00F545E6"/>
    <w:rsid w:val="00F73EF7"/>
    <w:rsid w:val="00F75DA9"/>
    <w:rsid w:val="00F83E30"/>
    <w:rsid w:val="00F842B1"/>
    <w:rsid w:val="00FA17C4"/>
    <w:rsid w:val="00FA6BDD"/>
    <w:rsid w:val="00FD175E"/>
    <w:rsid w:val="00FD30E0"/>
    <w:rsid w:val="00FD51CB"/>
    <w:rsid w:val="00FD6B3E"/>
    <w:rsid w:val="00FD78A4"/>
    <w:rsid w:val="00FD7AEB"/>
    <w:rsid w:val="00FD7D77"/>
    <w:rsid w:val="00FE252C"/>
    <w:rsid w:val="00FE264D"/>
    <w:rsid w:val="00FE7FD5"/>
    <w:rsid w:val="00FF5C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3CA2910"/>
  <w15:docId w15:val="{160B9362-720F-4861-B695-E9C9A2F6A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40F4"/>
    <w:pPr>
      <w:keepNext/>
      <w:keepLines/>
      <w:spacing w:before="480" w:after="0"/>
      <w:outlineLvl w:val="0"/>
    </w:pPr>
    <w:rPr>
      <w:rFonts w:eastAsiaTheme="majorEastAsia" w:cstheme="majorBidi"/>
      <w:b/>
      <w:bCs/>
      <w:color w:val="365F91" w:themeColor="accent1" w:themeShade="BF"/>
      <w:sz w:val="24"/>
      <w:szCs w:val="28"/>
    </w:rPr>
  </w:style>
  <w:style w:type="paragraph" w:styleId="Heading2">
    <w:name w:val="heading 2"/>
    <w:basedOn w:val="Normal"/>
    <w:next w:val="Normal"/>
    <w:link w:val="Heading2Char"/>
    <w:uiPriority w:val="9"/>
    <w:unhideWhenUsed/>
    <w:qFormat/>
    <w:rsid w:val="009E2BBB"/>
    <w:pPr>
      <w:keepNext/>
      <w:keepLines/>
      <w:spacing w:before="200" w:after="0"/>
      <w:outlineLvl w:val="1"/>
    </w:pPr>
    <w:rPr>
      <w:rFonts w:eastAsiaTheme="majorEastAsia" w:cstheme="majorBidi"/>
      <w:b/>
      <w:bCs/>
      <w:color w:val="4F81BD" w:themeColor="accent1"/>
      <w:sz w:val="24"/>
      <w:szCs w:val="26"/>
    </w:rPr>
  </w:style>
  <w:style w:type="paragraph" w:styleId="Heading3">
    <w:name w:val="heading 3"/>
    <w:basedOn w:val="Normal"/>
    <w:next w:val="Normal"/>
    <w:link w:val="Heading3Char"/>
    <w:uiPriority w:val="9"/>
    <w:unhideWhenUsed/>
    <w:qFormat/>
    <w:rsid w:val="00104989"/>
    <w:pPr>
      <w:keepNext/>
      <w:keepLines/>
      <w:spacing w:before="200" w:after="0"/>
      <w:outlineLvl w:val="2"/>
    </w:pPr>
    <w:rPr>
      <w:rFonts w:eastAsiaTheme="majorEastAsia" w:cstheme="majorBidi"/>
      <w:b/>
      <w:bCs/>
      <w:color w:val="4F81BD"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B0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088D"/>
    <w:rPr>
      <w:color w:val="0000FF"/>
      <w:u w:val="single"/>
    </w:rPr>
  </w:style>
  <w:style w:type="paragraph" w:styleId="BalloonText">
    <w:name w:val="Balloon Text"/>
    <w:basedOn w:val="Normal"/>
    <w:link w:val="BalloonTextChar"/>
    <w:uiPriority w:val="99"/>
    <w:semiHidden/>
    <w:unhideWhenUsed/>
    <w:rsid w:val="00A401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014D"/>
    <w:rPr>
      <w:rFonts w:ascii="Tahoma" w:hAnsi="Tahoma" w:cs="Tahoma"/>
      <w:sz w:val="16"/>
      <w:szCs w:val="16"/>
    </w:rPr>
  </w:style>
  <w:style w:type="paragraph" w:styleId="FootnoteText">
    <w:name w:val="footnote text"/>
    <w:basedOn w:val="Normal"/>
    <w:link w:val="FootnoteTextChar"/>
    <w:uiPriority w:val="99"/>
    <w:semiHidden/>
    <w:unhideWhenUsed/>
    <w:rsid w:val="00C212D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12D3"/>
    <w:rPr>
      <w:sz w:val="20"/>
      <w:szCs w:val="20"/>
    </w:rPr>
  </w:style>
  <w:style w:type="character" w:styleId="FootnoteReference">
    <w:name w:val="footnote reference"/>
    <w:basedOn w:val="DefaultParagraphFont"/>
    <w:uiPriority w:val="99"/>
    <w:semiHidden/>
    <w:unhideWhenUsed/>
    <w:rsid w:val="00C212D3"/>
    <w:rPr>
      <w:vertAlign w:val="superscript"/>
    </w:rPr>
  </w:style>
  <w:style w:type="paragraph" w:styleId="Header">
    <w:name w:val="header"/>
    <w:aliases w:val="Main Title"/>
    <w:basedOn w:val="Normal"/>
    <w:link w:val="HeaderChar"/>
    <w:unhideWhenUsed/>
    <w:rsid w:val="00070E1F"/>
    <w:pPr>
      <w:tabs>
        <w:tab w:val="center" w:pos="4513"/>
        <w:tab w:val="right" w:pos="9026"/>
      </w:tabs>
      <w:spacing w:after="0" w:line="240" w:lineRule="auto"/>
    </w:pPr>
  </w:style>
  <w:style w:type="character" w:customStyle="1" w:styleId="HeaderChar">
    <w:name w:val="Header Char"/>
    <w:aliases w:val="Main Title Char"/>
    <w:basedOn w:val="DefaultParagraphFont"/>
    <w:link w:val="Header"/>
    <w:uiPriority w:val="99"/>
    <w:rsid w:val="00070E1F"/>
  </w:style>
  <w:style w:type="paragraph" w:styleId="Footer">
    <w:name w:val="footer"/>
    <w:basedOn w:val="Normal"/>
    <w:link w:val="FooterChar"/>
    <w:uiPriority w:val="99"/>
    <w:unhideWhenUsed/>
    <w:rsid w:val="00070E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0E1F"/>
  </w:style>
  <w:style w:type="paragraph" w:styleId="ListParagraph">
    <w:name w:val="List Paragraph"/>
    <w:basedOn w:val="Normal"/>
    <w:uiPriority w:val="34"/>
    <w:qFormat/>
    <w:rsid w:val="0002782C"/>
    <w:pPr>
      <w:ind w:left="720"/>
      <w:contextualSpacing/>
    </w:pPr>
  </w:style>
  <w:style w:type="paragraph" w:customStyle="1" w:styleId="HeadingPage">
    <w:name w:val="Heading Page"/>
    <w:rsid w:val="00757474"/>
    <w:pPr>
      <w:spacing w:before="240" w:after="0" w:line="480" w:lineRule="auto"/>
    </w:pPr>
    <w:rPr>
      <w:rFonts w:ascii="Arial" w:eastAsia="Times New Roman" w:hAnsi="Arial" w:cs="Times New Roman"/>
      <w:b/>
      <w:sz w:val="40"/>
      <w:szCs w:val="20"/>
    </w:rPr>
  </w:style>
  <w:style w:type="paragraph" w:customStyle="1" w:styleId="Appendix1">
    <w:name w:val="Appendix 1"/>
    <w:basedOn w:val="Normal"/>
    <w:link w:val="Appendix1Char"/>
    <w:qFormat/>
    <w:rsid w:val="00CC11A0"/>
    <w:pPr>
      <w:spacing w:after="0" w:line="360" w:lineRule="auto"/>
    </w:pPr>
    <w:rPr>
      <w:rFonts w:ascii="Arial" w:eastAsia="Times New Roman" w:hAnsi="Arial" w:cs="Times New Roman"/>
      <w:sz w:val="24"/>
      <w:szCs w:val="24"/>
    </w:rPr>
  </w:style>
  <w:style w:type="character" w:customStyle="1" w:styleId="Appendix1Char">
    <w:name w:val="Appendix 1 Char"/>
    <w:link w:val="Appendix1"/>
    <w:rsid w:val="00CC11A0"/>
    <w:rPr>
      <w:rFonts w:ascii="Arial" w:eastAsia="Times New Roman" w:hAnsi="Arial" w:cs="Times New Roman"/>
      <w:sz w:val="24"/>
      <w:szCs w:val="24"/>
    </w:rPr>
  </w:style>
  <w:style w:type="character" w:styleId="Emphasis">
    <w:name w:val="Emphasis"/>
    <w:basedOn w:val="DefaultParagraphFont"/>
    <w:uiPriority w:val="20"/>
    <w:qFormat/>
    <w:rsid w:val="002E4E4F"/>
    <w:rPr>
      <w:i/>
      <w:iCs/>
    </w:rPr>
  </w:style>
  <w:style w:type="character" w:customStyle="1" w:styleId="fontstyle01">
    <w:name w:val="fontstyle01"/>
    <w:basedOn w:val="DefaultParagraphFont"/>
    <w:rsid w:val="00D6583E"/>
    <w:rPr>
      <w:rFonts w:ascii="OpenSans" w:hAnsi="OpenSans" w:hint="default"/>
      <w:b w:val="0"/>
      <w:bCs w:val="0"/>
      <w:i w:val="0"/>
      <w:iCs w:val="0"/>
      <w:color w:val="000000"/>
      <w:sz w:val="16"/>
      <w:szCs w:val="16"/>
    </w:rPr>
  </w:style>
  <w:style w:type="character" w:customStyle="1" w:styleId="fontstyle21">
    <w:name w:val="fontstyle21"/>
    <w:basedOn w:val="DefaultParagraphFont"/>
    <w:rsid w:val="00D6583E"/>
    <w:rPr>
      <w:rFonts w:ascii="OpenSans-Bold" w:hAnsi="OpenSans-Bold" w:hint="default"/>
      <w:b/>
      <w:bCs/>
      <w:i w:val="0"/>
      <w:iCs w:val="0"/>
      <w:color w:val="000000"/>
      <w:sz w:val="16"/>
      <w:szCs w:val="16"/>
    </w:rPr>
  </w:style>
  <w:style w:type="paragraph" w:styleId="NormalWeb">
    <w:name w:val="Normal (Web)"/>
    <w:basedOn w:val="Normal"/>
    <w:uiPriority w:val="99"/>
    <w:semiHidden/>
    <w:unhideWhenUsed/>
    <w:rsid w:val="00CA4C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12692B"/>
    <w:rPr>
      <w:color w:val="800080" w:themeColor="followedHyperlink"/>
      <w:u w:val="single"/>
    </w:rPr>
  </w:style>
  <w:style w:type="paragraph" w:styleId="Caption">
    <w:name w:val="caption"/>
    <w:basedOn w:val="Normal"/>
    <w:next w:val="Normal"/>
    <w:uiPriority w:val="35"/>
    <w:unhideWhenUsed/>
    <w:qFormat/>
    <w:rsid w:val="005F4241"/>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D240F4"/>
    <w:rPr>
      <w:rFonts w:eastAsiaTheme="majorEastAsia" w:cstheme="majorBidi"/>
      <w:b/>
      <w:bCs/>
      <w:color w:val="365F91" w:themeColor="accent1" w:themeShade="BF"/>
      <w:sz w:val="24"/>
      <w:szCs w:val="28"/>
    </w:rPr>
  </w:style>
  <w:style w:type="character" w:customStyle="1" w:styleId="Heading2Char">
    <w:name w:val="Heading 2 Char"/>
    <w:basedOn w:val="DefaultParagraphFont"/>
    <w:link w:val="Heading2"/>
    <w:uiPriority w:val="9"/>
    <w:rsid w:val="009E2BBB"/>
    <w:rPr>
      <w:rFonts w:eastAsiaTheme="majorEastAsia" w:cstheme="majorBidi"/>
      <w:b/>
      <w:bCs/>
      <w:color w:val="4F81BD" w:themeColor="accent1"/>
      <w:sz w:val="24"/>
      <w:szCs w:val="26"/>
    </w:rPr>
  </w:style>
  <w:style w:type="character" w:customStyle="1" w:styleId="Heading3Char">
    <w:name w:val="Heading 3 Char"/>
    <w:basedOn w:val="DefaultParagraphFont"/>
    <w:link w:val="Heading3"/>
    <w:uiPriority w:val="9"/>
    <w:rsid w:val="00104989"/>
    <w:rPr>
      <w:rFonts w:eastAsiaTheme="majorEastAsia" w:cstheme="majorBidi"/>
      <w:b/>
      <w:bCs/>
      <w:color w:val="4F81BD" w:themeColor="accent1"/>
      <w:sz w:val="24"/>
    </w:rPr>
  </w:style>
  <w:style w:type="paragraph" w:styleId="TOCHeading">
    <w:name w:val="TOC Heading"/>
    <w:basedOn w:val="Heading1"/>
    <w:next w:val="Normal"/>
    <w:uiPriority w:val="39"/>
    <w:semiHidden/>
    <w:unhideWhenUsed/>
    <w:qFormat/>
    <w:rsid w:val="00F50085"/>
    <w:pPr>
      <w:outlineLvl w:val="9"/>
    </w:pPr>
    <w:rPr>
      <w:rFonts w:asciiTheme="majorHAnsi" w:hAnsiTheme="majorHAnsi"/>
      <w:sz w:val="28"/>
      <w:lang w:val="en-US" w:eastAsia="ja-JP"/>
    </w:rPr>
  </w:style>
  <w:style w:type="paragraph" w:styleId="TOC1">
    <w:name w:val="toc 1"/>
    <w:basedOn w:val="Normal"/>
    <w:next w:val="Normal"/>
    <w:autoRedefine/>
    <w:uiPriority w:val="39"/>
    <w:unhideWhenUsed/>
    <w:rsid w:val="00F50085"/>
    <w:pPr>
      <w:spacing w:after="100"/>
    </w:pPr>
  </w:style>
  <w:style w:type="paragraph" w:styleId="TOC2">
    <w:name w:val="toc 2"/>
    <w:basedOn w:val="Normal"/>
    <w:next w:val="Normal"/>
    <w:autoRedefine/>
    <w:uiPriority w:val="39"/>
    <w:unhideWhenUsed/>
    <w:rsid w:val="00F50085"/>
    <w:pPr>
      <w:spacing w:after="100"/>
      <w:ind w:left="220"/>
    </w:pPr>
  </w:style>
  <w:style w:type="paragraph" w:styleId="TOC3">
    <w:name w:val="toc 3"/>
    <w:basedOn w:val="Normal"/>
    <w:next w:val="Normal"/>
    <w:autoRedefine/>
    <w:uiPriority w:val="39"/>
    <w:unhideWhenUsed/>
    <w:rsid w:val="00F50085"/>
    <w:pPr>
      <w:spacing w:after="100"/>
      <w:ind w:left="440"/>
    </w:pPr>
  </w:style>
  <w:style w:type="character" w:styleId="CommentReference">
    <w:name w:val="annotation reference"/>
    <w:basedOn w:val="DefaultParagraphFont"/>
    <w:uiPriority w:val="99"/>
    <w:semiHidden/>
    <w:unhideWhenUsed/>
    <w:rsid w:val="00484694"/>
    <w:rPr>
      <w:sz w:val="16"/>
      <w:szCs w:val="16"/>
    </w:rPr>
  </w:style>
  <w:style w:type="paragraph" w:styleId="CommentText">
    <w:name w:val="annotation text"/>
    <w:basedOn w:val="Normal"/>
    <w:link w:val="CommentTextChar"/>
    <w:uiPriority w:val="99"/>
    <w:semiHidden/>
    <w:unhideWhenUsed/>
    <w:rsid w:val="00484694"/>
    <w:pPr>
      <w:spacing w:line="240" w:lineRule="auto"/>
    </w:pPr>
    <w:rPr>
      <w:sz w:val="20"/>
      <w:szCs w:val="20"/>
    </w:rPr>
  </w:style>
  <w:style w:type="character" w:customStyle="1" w:styleId="CommentTextChar">
    <w:name w:val="Comment Text Char"/>
    <w:basedOn w:val="DefaultParagraphFont"/>
    <w:link w:val="CommentText"/>
    <w:uiPriority w:val="99"/>
    <w:semiHidden/>
    <w:rsid w:val="00484694"/>
    <w:rPr>
      <w:sz w:val="20"/>
      <w:szCs w:val="20"/>
    </w:rPr>
  </w:style>
  <w:style w:type="paragraph" w:styleId="CommentSubject">
    <w:name w:val="annotation subject"/>
    <w:basedOn w:val="CommentText"/>
    <w:next w:val="CommentText"/>
    <w:link w:val="CommentSubjectChar"/>
    <w:uiPriority w:val="99"/>
    <w:semiHidden/>
    <w:unhideWhenUsed/>
    <w:rsid w:val="00484694"/>
    <w:rPr>
      <w:b/>
      <w:bCs/>
    </w:rPr>
  </w:style>
  <w:style w:type="character" w:customStyle="1" w:styleId="CommentSubjectChar">
    <w:name w:val="Comment Subject Char"/>
    <w:basedOn w:val="CommentTextChar"/>
    <w:link w:val="CommentSubject"/>
    <w:uiPriority w:val="99"/>
    <w:semiHidden/>
    <w:rsid w:val="0048469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93708">
      <w:bodyDiv w:val="1"/>
      <w:marLeft w:val="0"/>
      <w:marRight w:val="0"/>
      <w:marTop w:val="0"/>
      <w:marBottom w:val="0"/>
      <w:divBdr>
        <w:top w:val="none" w:sz="0" w:space="0" w:color="auto"/>
        <w:left w:val="none" w:sz="0" w:space="0" w:color="auto"/>
        <w:bottom w:val="none" w:sz="0" w:space="0" w:color="auto"/>
        <w:right w:val="none" w:sz="0" w:space="0" w:color="auto"/>
      </w:divBdr>
    </w:div>
    <w:div w:id="443232257">
      <w:bodyDiv w:val="1"/>
      <w:marLeft w:val="0"/>
      <w:marRight w:val="0"/>
      <w:marTop w:val="0"/>
      <w:marBottom w:val="0"/>
      <w:divBdr>
        <w:top w:val="none" w:sz="0" w:space="0" w:color="auto"/>
        <w:left w:val="none" w:sz="0" w:space="0" w:color="auto"/>
        <w:bottom w:val="none" w:sz="0" w:space="0" w:color="auto"/>
        <w:right w:val="none" w:sz="0" w:space="0" w:color="auto"/>
      </w:divBdr>
    </w:div>
    <w:div w:id="472912176">
      <w:bodyDiv w:val="1"/>
      <w:marLeft w:val="0"/>
      <w:marRight w:val="0"/>
      <w:marTop w:val="0"/>
      <w:marBottom w:val="0"/>
      <w:divBdr>
        <w:top w:val="none" w:sz="0" w:space="0" w:color="auto"/>
        <w:left w:val="none" w:sz="0" w:space="0" w:color="auto"/>
        <w:bottom w:val="none" w:sz="0" w:space="0" w:color="auto"/>
        <w:right w:val="none" w:sz="0" w:space="0" w:color="auto"/>
      </w:divBdr>
    </w:div>
    <w:div w:id="642849915">
      <w:bodyDiv w:val="1"/>
      <w:marLeft w:val="0"/>
      <w:marRight w:val="0"/>
      <w:marTop w:val="0"/>
      <w:marBottom w:val="0"/>
      <w:divBdr>
        <w:top w:val="none" w:sz="0" w:space="0" w:color="auto"/>
        <w:left w:val="none" w:sz="0" w:space="0" w:color="auto"/>
        <w:bottom w:val="none" w:sz="0" w:space="0" w:color="auto"/>
        <w:right w:val="none" w:sz="0" w:space="0" w:color="auto"/>
      </w:divBdr>
    </w:div>
    <w:div w:id="814028159">
      <w:bodyDiv w:val="1"/>
      <w:marLeft w:val="0"/>
      <w:marRight w:val="0"/>
      <w:marTop w:val="0"/>
      <w:marBottom w:val="0"/>
      <w:divBdr>
        <w:top w:val="none" w:sz="0" w:space="0" w:color="auto"/>
        <w:left w:val="none" w:sz="0" w:space="0" w:color="auto"/>
        <w:bottom w:val="none" w:sz="0" w:space="0" w:color="auto"/>
        <w:right w:val="none" w:sz="0" w:space="0" w:color="auto"/>
      </w:divBdr>
    </w:div>
    <w:div w:id="826825416">
      <w:bodyDiv w:val="1"/>
      <w:marLeft w:val="0"/>
      <w:marRight w:val="0"/>
      <w:marTop w:val="0"/>
      <w:marBottom w:val="0"/>
      <w:divBdr>
        <w:top w:val="none" w:sz="0" w:space="0" w:color="auto"/>
        <w:left w:val="none" w:sz="0" w:space="0" w:color="auto"/>
        <w:bottom w:val="none" w:sz="0" w:space="0" w:color="auto"/>
        <w:right w:val="none" w:sz="0" w:space="0" w:color="auto"/>
      </w:divBdr>
    </w:div>
    <w:div w:id="849417161">
      <w:bodyDiv w:val="1"/>
      <w:marLeft w:val="0"/>
      <w:marRight w:val="0"/>
      <w:marTop w:val="0"/>
      <w:marBottom w:val="0"/>
      <w:divBdr>
        <w:top w:val="none" w:sz="0" w:space="0" w:color="auto"/>
        <w:left w:val="none" w:sz="0" w:space="0" w:color="auto"/>
        <w:bottom w:val="none" w:sz="0" w:space="0" w:color="auto"/>
        <w:right w:val="none" w:sz="0" w:space="0" w:color="auto"/>
      </w:divBdr>
    </w:div>
    <w:div w:id="969745383">
      <w:bodyDiv w:val="1"/>
      <w:marLeft w:val="0"/>
      <w:marRight w:val="0"/>
      <w:marTop w:val="0"/>
      <w:marBottom w:val="0"/>
      <w:divBdr>
        <w:top w:val="none" w:sz="0" w:space="0" w:color="auto"/>
        <w:left w:val="none" w:sz="0" w:space="0" w:color="auto"/>
        <w:bottom w:val="none" w:sz="0" w:space="0" w:color="auto"/>
        <w:right w:val="none" w:sz="0" w:space="0" w:color="auto"/>
      </w:divBdr>
    </w:div>
    <w:div w:id="1076130408">
      <w:bodyDiv w:val="1"/>
      <w:marLeft w:val="0"/>
      <w:marRight w:val="0"/>
      <w:marTop w:val="0"/>
      <w:marBottom w:val="0"/>
      <w:divBdr>
        <w:top w:val="none" w:sz="0" w:space="0" w:color="auto"/>
        <w:left w:val="none" w:sz="0" w:space="0" w:color="auto"/>
        <w:bottom w:val="none" w:sz="0" w:space="0" w:color="auto"/>
        <w:right w:val="none" w:sz="0" w:space="0" w:color="auto"/>
      </w:divBdr>
    </w:div>
    <w:div w:id="1136485503">
      <w:bodyDiv w:val="1"/>
      <w:marLeft w:val="0"/>
      <w:marRight w:val="0"/>
      <w:marTop w:val="0"/>
      <w:marBottom w:val="0"/>
      <w:divBdr>
        <w:top w:val="none" w:sz="0" w:space="0" w:color="auto"/>
        <w:left w:val="none" w:sz="0" w:space="0" w:color="auto"/>
        <w:bottom w:val="none" w:sz="0" w:space="0" w:color="auto"/>
        <w:right w:val="none" w:sz="0" w:space="0" w:color="auto"/>
      </w:divBdr>
    </w:div>
    <w:div w:id="1227376633">
      <w:bodyDiv w:val="1"/>
      <w:marLeft w:val="0"/>
      <w:marRight w:val="0"/>
      <w:marTop w:val="0"/>
      <w:marBottom w:val="0"/>
      <w:divBdr>
        <w:top w:val="none" w:sz="0" w:space="0" w:color="auto"/>
        <w:left w:val="none" w:sz="0" w:space="0" w:color="auto"/>
        <w:bottom w:val="none" w:sz="0" w:space="0" w:color="auto"/>
        <w:right w:val="none" w:sz="0" w:space="0" w:color="auto"/>
      </w:divBdr>
    </w:div>
    <w:div w:id="1246067761">
      <w:bodyDiv w:val="1"/>
      <w:marLeft w:val="0"/>
      <w:marRight w:val="0"/>
      <w:marTop w:val="0"/>
      <w:marBottom w:val="0"/>
      <w:divBdr>
        <w:top w:val="none" w:sz="0" w:space="0" w:color="auto"/>
        <w:left w:val="none" w:sz="0" w:space="0" w:color="auto"/>
        <w:bottom w:val="none" w:sz="0" w:space="0" w:color="auto"/>
        <w:right w:val="none" w:sz="0" w:space="0" w:color="auto"/>
      </w:divBdr>
    </w:div>
    <w:div w:id="1386833652">
      <w:bodyDiv w:val="1"/>
      <w:marLeft w:val="0"/>
      <w:marRight w:val="0"/>
      <w:marTop w:val="0"/>
      <w:marBottom w:val="0"/>
      <w:divBdr>
        <w:top w:val="none" w:sz="0" w:space="0" w:color="auto"/>
        <w:left w:val="none" w:sz="0" w:space="0" w:color="auto"/>
        <w:bottom w:val="none" w:sz="0" w:space="0" w:color="auto"/>
        <w:right w:val="none" w:sz="0" w:space="0" w:color="auto"/>
      </w:divBdr>
    </w:div>
    <w:div w:id="1466121370">
      <w:bodyDiv w:val="1"/>
      <w:marLeft w:val="0"/>
      <w:marRight w:val="0"/>
      <w:marTop w:val="0"/>
      <w:marBottom w:val="0"/>
      <w:divBdr>
        <w:top w:val="none" w:sz="0" w:space="0" w:color="auto"/>
        <w:left w:val="none" w:sz="0" w:space="0" w:color="auto"/>
        <w:bottom w:val="none" w:sz="0" w:space="0" w:color="auto"/>
        <w:right w:val="none" w:sz="0" w:space="0" w:color="auto"/>
      </w:divBdr>
    </w:div>
    <w:div w:id="1690183636">
      <w:bodyDiv w:val="1"/>
      <w:marLeft w:val="0"/>
      <w:marRight w:val="0"/>
      <w:marTop w:val="0"/>
      <w:marBottom w:val="0"/>
      <w:divBdr>
        <w:top w:val="none" w:sz="0" w:space="0" w:color="auto"/>
        <w:left w:val="none" w:sz="0" w:space="0" w:color="auto"/>
        <w:bottom w:val="none" w:sz="0" w:space="0" w:color="auto"/>
        <w:right w:val="none" w:sz="0" w:space="0" w:color="auto"/>
      </w:divBdr>
    </w:div>
    <w:div w:id="1871723486">
      <w:bodyDiv w:val="1"/>
      <w:marLeft w:val="0"/>
      <w:marRight w:val="0"/>
      <w:marTop w:val="0"/>
      <w:marBottom w:val="0"/>
      <w:divBdr>
        <w:top w:val="none" w:sz="0" w:space="0" w:color="auto"/>
        <w:left w:val="none" w:sz="0" w:space="0" w:color="auto"/>
        <w:bottom w:val="none" w:sz="0" w:space="0" w:color="auto"/>
        <w:right w:val="none" w:sz="0" w:space="0" w:color="auto"/>
      </w:divBdr>
    </w:div>
    <w:div w:id="2001540340">
      <w:bodyDiv w:val="1"/>
      <w:marLeft w:val="0"/>
      <w:marRight w:val="0"/>
      <w:marTop w:val="0"/>
      <w:marBottom w:val="0"/>
      <w:divBdr>
        <w:top w:val="none" w:sz="0" w:space="0" w:color="auto"/>
        <w:left w:val="none" w:sz="0" w:space="0" w:color="auto"/>
        <w:bottom w:val="none" w:sz="0" w:space="0" w:color="auto"/>
        <w:right w:val="none" w:sz="0" w:space="0" w:color="auto"/>
      </w:divBdr>
    </w:div>
    <w:div w:id="2076317578">
      <w:bodyDiv w:val="1"/>
      <w:marLeft w:val="0"/>
      <w:marRight w:val="0"/>
      <w:marTop w:val="0"/>
      <w:marBottom w:val="0"/>
      <w:divBdr>
        <w:top w:val="none" w:sz="0" w:space="0" w:color="auto"/>
        <w:left w:val="none" w:sz="0" w:space="0" w:color="auto"/>
        <w:bottom w:val="none" w:sz="0" w:space="0" w:color="auto"/>
        <w:right w:val="none" w:sz="0" w:space="0" w:color="auto"/>
      </w:divBdr>
    </w:div>
    <w:div w:id="2141262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sussex-air.net/" TargetMode="External"/><Relationship Id="rId26" Type="http://schemas.openxmlformats.org/officeDocument/2006/relationships/image" Target="media/image10.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chichester.gov.uk/media/7897/Stockbridge-AQMA-Order/pdf/Stockbridge_Order.pdf" TargetMode="External"/><Relationship Id="rId34" Type="http://schemas.openxmlformats.org/officeDocument/2006/relationships/image" Target="media/image17.png"/><Relationship Id="rId42" Type="http://schemas.openxmlformats.org/officeDocument/2006/relationships/image" Target="media/image23.emf"/><Relationship Id="rId47" Type="http://schemas.openxmlformats.org/officeDocument/2006/relationships/image" Target="media/image28.em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sballard@chichester.gov.uk" TargetMode="External"/><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7.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chichester.gov.uk/media/7898/St-Pancras-AQMA-Order/pdf/St_Pancras_Order.pdf" TargetMode="External"/><Relationship Id="rId29" Type="http://schemas.openxmlformats.org/officeDocument/2006/relationships/image" Target="media/image12.png"/><Relationship Id="rId41"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oter" Target="footer2.xml"/><Relationship Id="rId45" Type="http://schemas.openxmlformats.org/officeDocument/2006/relationships/image" Target="media/image26.em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0.png"/><Relationship Id="rId10" Type="http://schemas.microsoft.com/office/2007/relationships/hdphoto" Target="media/hdphoto1.wdp"/><Relationship Id="rId19" Type="http://schemas.openxmlformats.org/officeDocument/2006/relationships/hyperlink" Target="https://www.chichester.gov.uk/media/7896/Orchard-Street-AQMA-Order/pdf/Orchard_Street_Order.pdf" TargetMode="External"/><Relationship Id="rId31" Type="http://schemas.openxmlformats.org/officeDocument/2006/relationships/image" Target="media/image14.png"/><Relationship Id="rId44" Type="http://schemas.openxmlformats.org/officeDocument/2006/relationships/image" Target="media/image25.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www.chichester.gov.uk/media/33350/Rumbolds-Hill-AQMA-Order/pdf/AQMA_-_Rumbolds_Hill_-_Midhurst-.pdf" TargetMode="External"/><Relationship Id="rId27" Type="http://schemas.openxmlformats.org/officeDocument/2006/relationships/hyperlink" Target="http://www.sussex-air.net/"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4.emf"/><Relationship Id="rId48" Type="http://schemas.openxmlformats.org/officeDocument/2006/relationships/image" Target="media/image29.emf"/><Relationship Id="rId8" Type="http://schemas.openxmlformats.org/officeDocument/2006/relationships/image" Target="media/image1.jpeg"/><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westsussex.gov.uk/roads-and-travel/travel-and-public-transport/travelwise-sustainable-transport/electric-vehicles/" TargetMode="External"/><Relationship Id="rId13" Type="http://schemas.openxmlformats.org/officeDocument/2006/relationships/hyperlink" Target="https://www.ecostars-uk.com/" TargetMode="External"/><Relationship Id="rId3" Type="http://schemas.openxmlformats.org/officeDocument/2006/relationships/hyperlink" Target="https://www.chichester.gov.uk/pollutioncontrolairquality" TargetMode="External"/><Relationship Id="rId7" Type="http://schemas.openxmlformats.org/officeDocument/2006/relationships/hyperlink" Target="https://www.westsussex.gov.uk/media/14787/climate_change_strategy_2020-2030.pdf" TargetMode="External"/><Relationship Id="rId12" Type="http://schemas.openxmlformats.org/officeDocument/2006/relationships/hyperlink" Target="https://uk-air.defra.gov.uk/data/laqm-background-maps?year=2011" TargetMode="External"/><Relationship Id="rId2" Type="http://schemas.openxmlformats.org/officeDocument/2006/relationships/hyperlink" Target="https://uk-air.defra.gov.uk/assets/documents/National_air_quality_objectives.pdf" TargetMode="External"/><Relationship Id="rId1" Type="http://schemas.openxmlformats.org/officeDocument/2006/relationships/hyperlink" Target="https://www.chichester.gov.uk/pollutioncontrolairquality" TargetMode="External"/><Relationship Id="rId6" Type="http://schemas.openxmlformats.org/officeDocument/2006/relationships/hyperlink" Target="https://sussex-air.net/ImprovingAQ/Default.aspx" TargetMode="External"/><Relationship Id="rId11" Type="http://schemas.openxmlformats.org/officeDocument/2006/relationships/hyperlink" Target="https://www.chichester.gov.uk/pollutioncontrolairquality" TargetMode="External"/><Relationship Id="rId5" Type="http://schemas.openxmlformats.org/officeDocument/2006/relationships/hyperlink" Target="https://fingertips.phe.org.uk/search/particulate" TargetMode="External"/><Relationship Id="rId10" Type="http://schemas.openxmlformats.org/officeDocument/2006/relationships/hyperlink" Target="https://www.chichester.gov.uk/pollutioncontrolairquality" TargetMode="External"/><Relationship Id="rId4" Type="http://schemas.openxmlformats.org/officeDocument/2006/relationships/hyperlink" Target="https://assets.publishing.service.gov.uk/government/uploads/system/uploads/attachment_data/file/770715/clean-air-strategy-2019.pdf" TargetMode="External"/><Relationship Id="rId9" Type="http://schemas.openxmlformats.org/officeDocument/2006/relationships/hyperlink" Target="http://www.sussex-air.net/Reports/SussexAQGuidanceV.120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A1750-4BFB-4B3D-87FD-A1A1C8CD1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13803</Words>
  <Characters>78681</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Chichester District Council</Company>
  <LinksUpToDate>false</LinksUpToDate>
  <CharactersWithSpaces>92300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Ballard</dc:creator>
  <cp:lastModifiedBy>Simon Ballard</cp:lastModifiedBy>
  <cp:revision>2</cp:revision>
  <cp:lastPrinted>2021-02-02T15:48:00Z</cp:lastPrinted>
  <dcterms:created xsi:type="dcterms:W3CDTF">2022-10-06T10:11:00Z</dcterms:created>
  <dcterms:modified xsi:type="dcterms:W3CDTF">2022-10-06T10:11:00Z</dcterms:modified>
</cp:coreProperties>
</file>